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5C42DB" w:rsidP="00EF38F8" w14:paraId="6C29E980" w14:textId="375DAA21">
      <w:r>
        <w:rPr>
          <w:noProof/>
        </w:rPr>
        <w:drawing>
          <wp:anchor distT="0" distB="0" distL="114300" distR="114300" simplePos="0" relativeHeight="251658240" behindDoc="1" locked="0" layoutInCell="1" allowOverlap="1">
            <wp:simplePos x="0" y="0"/>
            <wp:positionH relativeFrom="margin">
              <wp:align>left</wp:align>
            </wp:positionH>
            <wp:positionV relativeFrom="paragraph">
              <wp:posOffset>5715</wp:posOffset>
            </wp:positionV>
            <wp:extent cx="1837305" cy="548640"/>
            <wp:effectExtent l="0" t="0" r="0" b="381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837305" cy="548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7EBF" w:rsidP="00EF38F8" w14:paraId="6C3C560E" w14:textId="36CD59D6"/>
    <w:p w:rsidR="00B77EBF" w:rsidP="00B77EBF" w14:paraId="59E334C6" w14:textId="3C3FAADD">
      <w:pPr>
        <w:tabs>
          <w:tab w:val="left" w:pos="2115"/>
        </w:tabs>
      </w:pPr>
      <w:r>
        <w:tab/>
      </w:r>
    </w:p>
    <w:p w:rsidR="006A20C3" w:rsidP="00B77EBF" w14:paraId="265CE9EE" w14:textId="279234AF">
      <w:pPr>
        <w:spacing w:after="0"/>
      </w:pPr>
    </w:p>
    <w:p w:rsidR="007145B6" w:rsidP="00B77EBF" w14:paraId="748A41CE" w14:textId="0E1552B2">
      <w:pPr>
        <w:rPr>
          <w:rFonts w:ascii="Arial" w:hAnsi="Arial" w:cs="Arial"/>
          <w:color w:val="000000" w:themeColor="text1"/>
        </w:rPr>
      </w:pPr>
    </w:p>
    <w:p w:rsidR="007145B6" w:rsidRPr="00B77EBF" w:rsidP="00B77EBF" w14:paraId="678D6C59" w14:textId="77777777">
      <w:pPr>
        <w:rPr>
          <w:rFonts w:ascii="Arial" w:hAnsi="Arial" w:cs="Arial"/>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bottom w:w="72" w:type="dxa"/>
        </w:tblCellMar>
        <w:tblLook w:val="04A0"/>
      </w:tblPr>
      <w:tblGrid>
        <w:gridCol w:w="12950"/>
      </w:tblGrid>
      <w:tr w14:paraId="450A06C9" w14:textId="77777777" w:rsidTr="007145B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bottom w:w="72" w:type="dxa"/>
          </w:tblCellMar>
          <w:tblLook w:val="04A0"/>
        </w:tblPrEx>
        <w:tc>
          <w:tcPr>
            <w:tcW w:w="12950" w:type="dxa"/>
            <w:shd w:val="clear" w:color="auto" w:fill="00A290"/>
          </w:tcPr>
          <w:p w:rsidR="007145B6" w:rsidRPr="007145B6" w:rsidP="00B77EBF" w14:paraId="6AF145A7" w14:textId="75CBF909">
            <w:pPr>
              <w:rPr>
                <w:rFonts w:ascii="Arial" w:hAnsi="Arial" w:cs="Arial"/>
                <w:color w:val="F2F2F2" w:themeColor="background1" w:themeShade="F2"/>
                <w:sz w:val="19"/>
                <w:szCs w:val="19"/>
              </w:rPr>
            </w:pPr>
            <w:r w:rsidRPr="007145B6">
              <w:rPr>
                <w:rFonts w:ascii="Arial" w:hAnsi="Arial" w:cs="Arial"/>
                <w:color w:val="F2F2F2" w:themeColor="background1" w:themeShade="F2"/>
                <w:sz w:val="19"/>
                <w:szCs w:val="19"/>
              </w:rPr>
              <w:t xml:space="preserve">ERISA INDUSTRY COMMITTEE 2023 SPRING POLICY CONFERENCE | APRIL 19-20, </w:t>
            </w:r>
            <w:r w:rsidRPr="007145B6">
              <w:rPr>
                <w:rFonts w:ascii="Arial" w:hAnsi="Arial" w:cs="Arial"/>
                <w:color w:val="F2F2F2" w:themeColor="background1" w:themeShade="F2"/>
                <w:sz w:val="19"/>
                <w:szCs w:val="19"/>
              </w:rPr>
              <w:t>2023</w:t>
            </w:r>
            <w:r w:rsidRPr="007145B6">
              <w:rPr>
                <w:rFonts w:ascii="Arial" w:hAnsi="Arial" w:cs="Arial"/>
                <w:color w:val="F2F2F2" w:themeColor="background1" w:themeShade="F2"/>
                <w:sz w:val="19"/>
                <w:szCs w:val="19"/>
              </w:rPr>
              <w:t xml:space="preserve"> | THE NATIONAL PRESS CLUB, WASHINGTON, DC</w:t>
            </w:r>
          </w:p>
        </w:tc>
      </w:tr>
    </w:tbl>
    <w:p w:rsidR="00B77EBF" w:rsidRPr="006A20C3" w:rsidP="007145B6" w14:paraId="49E1C339" w14:textId="580DA977">
      <w:pPr>
        <w:spacing w:before="120" w:after="120"/>
        <w:rPr>
          <w:rFonts w:ascii="Arial" w:hAnsi="Arial" w:cs="Arial"/>
          <w:b/>
          <w:bCs/>
          <w:color w:val="00A290"/>
          <w:sz w:val="52"/>
          <w:szCs w:val="52"/>
        </w:rPr>
      </w:pPr>
      <w:r w:rsidRPr="006A20C3">
        <w:rPr>
          <w:rFonts w:ascii="Arial" w:hAnsi="Arial" w:cs="Arial"/>
          <w:b/>
          <w:bCs/>
          <w:color w:val="00A290"/>
          <w:sz w:val="52"/>
          <w:szCs w:val="52"/>
        </w:rPr>
        <w:t>From Clinic-to-Courtroom – Legislation and Litigation Limiting Prescription Drug Practices</w:t>
      </w:r>
    </w:p>
    <w:p w:rsidR="00B02023" w:rsidP="00EF38F8" w14:paraId="4D7340FC" w14:textId="41B7AC72">
      <w:pPr>
        <w:rPr>
          <w:rFonts w:ascii="Arial" w:hAnsi="Arial" w:cs="Arial"/>
          <w:color w:val="000000" w:themeColor="text1"/>
        </w:rPr>
      </w:pPr>
      <w:r w:rsidRPr="00DA5E9E">
        <w:rPr>
          <w:rFonts w:ascii="Arial" w:hAnsi="Arial" w:cs="Arial"/>
          <w:color w:val="000000" w:themeColor="text1"/>
        </w:rPr>
        <w:t>ERISA Preemption of State Pharmacy Laws in Retrospect: Where We Are, How We Got Here, and Where We Are Going</w:t>
      </w:r>
    </w:p>
    <w:p w:rsidR="00DA5E9E" w:rsidP="00EF38F8" w14:paraId="3E5F56CC" w14:textId="77777777">
      <w:pPr>
        <w:rPr>
          <w:rFonts w:ascii="Arial" w:hAnsi="Arial" w:cs="Arial"/>
          <w:color w:val="000000" w:themeColor="text1"/>
        </w:rPr>
      </w:pPr>
    </w:p>
    <w:p w:rsidR="00B02023" w:rsidP="00EF38F8" w14:paraId="38B6D059" w14:textId="5863AEB6">
      <w:pPr>
        <w:rPr>
          <w:rFonts w:ascii="Arial" w:hAnsi="Arial" w:cs="Arial"/>
          <w:color w:val="000000" w:themeColor="text1"/>
        </w:rPr>
      </w:pPr>
    </w:p>
    <w:p w:rsidR="00B02023" w:rsidP="00EF38F8" w14:paraId="033267CB" w14:textId="3FC48AE6">
      <w:pPr>
        <w:rPr>
          <w:rFonts w:ascii="Arial" w:hAnsi="Arial" w:cs="Arial"/>
          <w:color w:val="000000" w:themeColor="text1"/>
        </w:rPr>
      </w:pPr>
    </w:p>
    <w:p w:rsidR="00B02023" w:rsidP="00EF38F8" w14:paraId="72115D37" w14:textId="1F31F8A6">
      <w:pPr>
        <w:rPr>
          <w:rFonts w:ascii="Arial" w:hAnsi="Arial" w:cs="Arial"/>
          <w:color w:val="000000" w:themeColor="text1"/>
        </w:rPr>
      </w:pPr>
    </w:p>
    <w:p w:rsidR="00B02023" w:rsidRPr="006A20C3" w:rsidP="00EF38F8" w14:paraId="5B1CC0E9" w14:textId="77777777">
      <w:pPr>
        <w:rPr>
          <w:rFonts w:ascii="Arial" w:hAnsi="Arial" w:cs="Arial"/>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56"/>
        <w:gridCol w:w="11304"/>
      </w:tblGrid>
      <w:tr w14:paraId="627F375B" w14:textId="77777777" w:rsidTr="007145B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615" w:type="dxa"/>
          </w:tcPr>
          <w:p w:rsidR="006A20C3" w:rsidP="00EF38F8" w14:paraId="2334A3C6" w14:textId="54FE19EE">
            <w:r>
              <w:rPr>
                <w:noProof/>
              </w:rPr>
              <w:drawing>
                <wp:inline distT="0" distB="0" distL="0" distR="0">
                  <wp:extent cx="914400" cy="9144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c>
          <w:tcPr>
            <w:tcW w:w="11335" w:type="dxa"/>
          </w:tcPr>
          <w:p w:rsidR="006A20C3" w:rsidP="00EF38F8" w14:paraId="74DED5E0" w14:textId="77777777">
            <w:pPr>
              <w:rPr>
                <w:rFonts w:ascii="Arial" w:hAnsi="Arial" w:cs="Arial"/>
                <w:b/>
                <w:bCs/>
                <w:sz w:val="20"/>
                <w:szCs w:val="20"/>
              </w:rPr>
            </w:pPr>
            <w:r w:rsidRPr="006A20C3">
              <w:rPr>
                <w:rFonts w:ascii="Arial" w:hAnsi="Arial" w:cs="Arial"/>
                <w:b/>
                <w:bCs/>
                <w:sz w:val="20"/>
                <w:szCs w:val="20"/>
              </w:rPr>
              <w:t>Alden Bianchi, Counsel, McDermott Will &amp; Emery LLP</w:t>
            </w:r>
          </w:p>
          <w:p w:rsidR="006A20C3" w:rsidP="00EF38F8" w14:paraId="572C5954" w14:textId="77777777">
            <w:pPr>
              <w:rPr>
                <w:rFonts w:ascii="Arial" w:hAnsi="Arial" w:cs="Arial"/>
                <w:sz w:val="18"/>
                <w:szCs w:val="18"/>
              </w:rPr>
            </w:pPr>
            <w:r w:rsidRPr="006A20C3">
              <w:rPr>
                <w:rFonts w:ascii="Arial" w:hAnsi="Arial" w:cs="Arial"/>
                <w:sz w:val="18"/>
                <w:szCs w:val="18"/>
              </w:rPr>
              <w:t xml:space="preserve">Alden J. Bianchi is an experienced Employee Benefits and Executive Compensation lawyer who advises corporate, not-for-profit, </w:t>
            </w:r>
            <w:r w:rsidRPr="006A20C3">
              <w:rPr>
                <w:rFonts w:ascii="Arial" w:hAnsi="Arial" w:cs="Arial"/>
                <w:sz w:val="18"/>
                <w:szCs w:val="18"/>
              </w:rPr>
              <w:t>governmental</w:t>
            </w:r>
            <w:r w:rsidRPr="006A20C3">
              <w:rPr>
                <w:rFonts w:ascii="Arial" w:hAnsi="Arial" w:cs="Arial"/>
                <w:sz w:val="18"/>
                <w:szCs w:val="18"/>
              </w:rPr>
              <w:t xml:space="preserve"> and individual clients on a broad range of executive compensation and employee benefits matters, including qualified and non-qualified retirement plans, health and welfare plans.</w:t>
            </w:r>
            <w:r>
              <w:rPr>
                <w:rFonts w:ascii="Arial" w:hAnsi="Arial" w:cs="Arial"/>
                <w:sz w:val="18"/>
                <w:szCs w:val="18"/>
              </w:rPr>
              <w:t xml:space="preserve"> </w:t>
            </w:r>
            <w:r w:rsidRPr="006A20C3">
              <w:rPr>
                <w:rFonts w:ascii="Arial" w:hAnsi="Arial" w:cs="Arial"/>
                <w:sz w:val="18"/>
                <w:szCs w:val="18"/>
              </w:rPr>
              <w:t xml:space="preserve">Alden represented the Romney Administration in connection with the historic 2006 Massachusetts health care reform act, and he testified before the Senate Finance Committee in the lead-up to the Affordable Care Act. </w:t>
            </w:r>
          </w:p>
          <w:p w:rsidR="007145B6" w:rsidP="00EF38F8" w14:paraId="52E62A0E" w14:textId="77777777">
            <w:pPr>
              <w:rPr>
                <w:rFonts w:ascii="Arial" w:hAnsi="Arial" w:cs="Arial"/>
                <w:sz w:val="18"/>
                <w:szCs w:val="18"/>
              </w:rPr>
            </w:pPr>
          </w:p>
          <w:p w:rsidR="007145B6" w:rsidRPr="006A20C3" w:rsidP="00EF38F8" w14:paraId="357B9E93" w14:textId="2C965A6C">
            <w:pPr>
              <w:rPr>
                <w:rFonts w:ascii="Arial" w:hAnsi="Arial" w:cs="Arial"/>
                <w:sz w:val="18"/>
                <w:szCs w:val="18"/>
              </w:rPr>
            </w:pPr>
            <w:r>
              <w:rPr>
                <w:rFonts w:ascii="Arial" w:hAnsi="Arial" w:cs="Arial"/>
                <w:sz w:val="18"/>
                <w:szCs w:val="18"/>
              </w:rPr>
              <w:t xml:space="preserve">T: </w:t>
            </w:r>
            <w:r w:rsidRPr="007145B6">
              <w:rPr>
                <w:rFonts w:ascii="Arial" w:hAnsi="Arial" w:cs="Arial"/>
                <w:sz w:val="18"/>
                <w:szCs w:val="18"/>
              </w:rPr>
              <w:t>+1 617 535 4152</w:t>
            </w:r>
            <w:r>
              <w:rPr>
                <w:rFonts w:ascii="Arial" w:hAnsi="Arial" w:cs="Arial"/>
                <w:sz w:val="18"/>
                <w:szCs w:val="18"/>
              </w:rPr>
              <w:t xml:space="preserve"> | </w:t>
            </w:r>
            <w:hyperlink r:id="rId6" w:history="1">
              <w:r w:rsidRPr="007145B6">
                <w:rPr>
                  <w:rStyle w:val="Hyperlink"/>
                  <w:rFonts w:ascii="Arial" w:hAnsi="Arial" w:cs="Arial"/>
                  <w:color w:val="00A290"/>
                  <w:sz w:val="18"/>
                  <w:szCs w:val="18"/>
                  <w:u w:val="none"/>
                </w:rPr>
                <w:t>abianchi@mwe.com</w:t>
              </w:r>
            </w:hyperlink>
            <w:r w:rsidRPr="007145B6">
              <w:rPr>
                <w:rFonts w:ascii="Arial" w:hAnsi="Arial" w:cs="Arial"/>
                <w:color w:val="00A290"/>
                <w:sz w:val="18"/>
                <w:szCs w:val="18"/>
              </w:rPr>
              <w:t xml:space="preserve"> </w:t>
            </w:r>
          </w:p>
        </w:tc>
      </w:tr>
    </w:tbl>
    <w:p w:rsidR="00DE2457" w:rsidP="006A20C3" w14:paraId="6AA37171" w14:textId="694CD645">
      <w:pPr>
        <w:ind w:left="-720"/>
        <w:rPr>
          <w:rFonts w:ascii="Arial" w:hAnsi="Arial" w:cs="Arial"/>
          <w:b/>
          <w:bCs/>
          <w:sz w:val="22"/>
          <w:szCs w:val="22"/>
        </w:rPr>
      </w:pPr>
    </w:p>
    <w:tbl>
      <w:tblPr>
        <w:tblStyle w:val="TableGrid"/>
        <w:tblW w:w="14125" w:type="dxa"/>
        <w:tblInd w:w="-720" w:type="dxa"/>
        <w:tblLook w:val="04A0"/>
      </w:tblPr>
      <w:tblGrid>
        <w:gridCol w:w="4585"/>
        <w:gridCol w:w="4410"/>
        <w:gridCol w:w="5130"/>
      </w:tblGrid>
      <w:tr w14:paraId="73373D98" w14:textId="77777777" w:rsidTr="000435D2">
        <w:tblPrEx>
          <w:tblW w:w="14125" w:type="dxa"/>
          <w:tblInd w:w="-720" w:type="dxa"/>
          <w:tblLook w:val="04A0"/>
        </w:tblPrEx>
        <w:tc>
          <w:tcPr>
            <w:tcW w:w="14125" w:type="dxa"/>
            <w:gridSpan w:val="3"/>
            <w:shd w:val="clear" w:color="auto" w:fill="00A290"/>
          </w:tcPr>
          <w:p w:rsidR="002F2FA9" w:rsidRPr="00783D4A" w:rsidP="00783D4A" w14:paraId="5ABF2D3C" w14:textId="6CC3963D">
            <w:pPr>
              <w:spacing w:before="120" w:after="120"/>
              <w:jc w:val="center"/>
              <w:rPr>
                <w:rFonts w:ascii="Arial" w:hAnsi="Arial" w:cs="Arial"/>
                <w:b/>
                <w:bCs/>
                <w:color w:val="FFFFFF" w:themeColor="background1"/>
                <w:sz w:val="22"/>
                <w:szCs w:val="22"/>
              </w:rPr>
            </w:pPr>
            <w:r w:rsidRPr="00783D4A">
              <w:rPr>
                <w:rFonts w:ascii="Arial" w:hAnsi="Arial" w:cs="Arial"/>
                <w:b/>
                <w:bCs/>
                <w:color w:val="FFFFFF" w:themeColor="background1"/>
                <w:sz w:val="22"/>
                <w:szCs w:val="22"/>
              </w:rPr>
              <w:t>Origins and Legislative intent</w:t>
            </w:r>
          </w:p>
        </w:tc>
      </w:tr>
      <w:tr w14:paraId="7BCC8D7F" w14:textId="77777777" w:rsidTr="000435D2">
        <w:tblPrEx>
          <w:tblW w:w="14125" w:type="dxa"/>
          <w:tblInd w:w="-720" w:type="dxa"/>
          <w:tblLook w:val="04A0"/>
        </w:tblPrEx>
        <w:tc>
          <w:tcPr>
            <w:tcW w:w="14125" w:type="dxa"/>
            <w:gridSpan w:val="3"/>
          </w:tcPr>
          <w:p w:rsidR="002F2FA9" w:rsidRPr="00783D4A" w:rsidP="00783D4A" w14:paraId="292E99BC" w14:textId="09E6C0D3">
            <w:pPr>
              <w:spacing w:before="120" w:after="120"/>
              <w:rPr>
                <w:rFonts w:ascii="Arial" w:hAnsi="Arial" w:cs="Arial"/>
                <w:sz w:val="20"/>
                <w:szCs w:val="20"/>
              </w:rPr>
            </w:pPr>
            <w:r w:rsidRPr="00783D4A">
              <w:rPr>
                <w:rFonts w:ascii="Arial" w:hAnsi="Arial" w:cs="Arial"/>
                <w:sz w:val="20"/>
                <w:szCs w:val="20"/>
              </w:rPr>
              <w:t xml:space="preserve">ERISA’s preemption provision is “one of the broadest preemption clauses ever enacted by Congress.”  </w:t>
            </w:r>
            <w:r w:rsidRPr="00783D4A">
              <w:rPr>
                <w:rFonts w:ascii="Arial" w:hAnsi="Arial" w:cs="Arial"/>
                <w:i/>
                <w:iCs/>
                <w:sz w:val="20"/>
                <w:szCs w:val="20"/>
              </w:rPr>
              <w:t>PM Group Life Ins. v. Western Growers Assur. Trust</w:t>
            </w:r>
            <w:r w:rsidRPr="00783D4A">
              <w:rPr>
                <w:rFonts w:ascii="Arial" w:hAnsi="Arial" w:cs="Arial"/>
                <w:sz w:val="20"/>
                <w:szCs w:val="20"/>
              </w:rPr>
              <w:t xml:space="preserve">, 953 F.2d 543, 545 (9th Cir. 1992) (quoting </w:t>
            </w:r>
            <w:r w:rsidRPr="00783D4A">
              <w:rPr>
                <w:rFonts w:ascii="Arial" w:hAnsi="Arial" w:cs="Arial"/>
                <w:i/>
                <w:iCs/>
                <w:sz w:val="20"/>
                <w:szCs w:val="20"/>
              </w:rPr>
              <w:t>Evans v. Safeco Life Ins</w:t>
            </w:r>
            <w:r w:rsidRPr="00783D4A">
              <w:rPr>
                <w:rFonts w:ascii="Arial" w:hAnsi="Arial" w:cs="Arial"/>
                <w:sz w:val="20"/>
                <w:szCs w:val="20"/>
              </w:rPr>
              <w:t>. Co., 916 F.2d 1437, 1439 (9th Cir. 1990)). ERISA makes the regulation of employee benefit plans principally a matter of Federal concern by preempting, or rendering inoperative, state laws that “relate to” employee benefit plans.</w:t>
            </w:r>
          </w:p>
        </w:tc>
      </w:tr>
      <w:tr w14:paraId="0C53CDFD" w14:textId="77777777" w:rsidTr="000435D2">
        <w:tblPrEx>
          <w:tblW w:w="14125" w:type="dxa"/>
          <w:tblInd w:w="-720" w:type="dxa"/>
          <w:tblLook w:val="04A0"/>
        </w:tblPrEx>
        <w:tc>
          <w:tcPr>
            <w:tcW w:w="14125" w:type="dxa"/>
            <w:gridSpan w:val="3"/>
            <w:shd w:val="clear" w:color="auto" w:fill="00A290"/>
          </w:tcPr>
          <w:p w:rsidR="008D0F90" w:rsidRPr="00783D4A" w:rsidP="00783D4A" w14:paraId="43F79675" w14:textId="51B0E47F">
            <w:pPr>
              <w:spacing w:before="120" w:after="120"/>
              <w:jc w:val="center"/>
              <w:rPr>
                <w:rFonts w:ascii="Arial" w:hAnsi="Arial" w:cs="Arial"/>
                <w:b/>
                <w:bCs/>
                <w:color w:val="FFFFFF" w:themeColor="background1"/>
                <w:sz w:val="22"/>
                <w:szCs w:val="22"/>
              </w:rPr>
            </w:pPr>
            <w:r w:rsidRPr="00783D4A">
              <w:rPr>
                <w:rFonts w:ascii="Arial" w:hAnsi="Arial" w:cs="Arial"/>
                <w:b/>
                <w:bCs/>
                <w:color w:val="FFFFFF" w:themeColor="background1"/>
                <w:sz w:val="22"/>
                <w:szCs w:val="22"/>
              </w:rPr>
              <w:t>The Statute</w:t>
            </w:r>
          </w:p>
        </w:tc>
      </w:tr>
      <w:tr w14:paraId="0F23C124" w14:textId="77777777" w:rsidTr="000435D2">
        <w:tblPrEx>
          <w:tblW w:w="14125" w:type="dxa"/>
          <w:tblInd w:w="-720" w:type="dxa"/>
          <w:tblLook w:val="04A0"/>
        </w:tblPrEx>
        <w:tc>
          <w:tcPr>
            <w:tcW w:w="14125" w:type="dxa"/>
            <w:gridSpan w:val="3"/>
          </w:tcPr>
          <w:p w:rsidR="0062664B" w:rsidRPr="00783D4A" w:rsidP="00783D4A" w14:paraId="6066688C" w14:textId="77777777">
            <w:pPr>
              <w:spacing w:before="120" w:after="120"/>
              <w:jc w:val="both"/>
              <w:rPr>
                <w:rFonts w:ascii="Arial" w:hAnsi="Arial" w:cs="Arial"/>
                <w:sz w:val="20"/>
                <w:szCs w:val="20"/>
              </w:rPr>
            </w:pPr>
            <w:r w:rsidRPr="00783D4A">
              <w:rPr>
                <w:rFonts w:ascii="Arial" w:hAnsi="Arial" w:cs="Arial"/>
                <w:sz w:val="20"/>
                <w:szCs w:val="20"/>
              </w:rPr>
              <w:t>The applicable rule from ERISA Section 514(a) reads in relevant part:</w:t>
            </w:r>
          </w:p>
          <w:p w:rsidR="0062664B" w:rsidRPr="00783D4A" w:rsidP="00783D4A" w14:paraId="7B949BA3" w14:textId="53C5A9F6">
            <w:pPr>
              <w:spacing w:before="120" w:after="120"/>
              <w:ind w:left="150"/>
              <w:rPr>
                <w:rFonts w:ascii="Arial" w:hAnsi="Arial" w:cs="Arial"/>
                <w:sz w:val="20"/>
                <w:szCs w:val="20"/>
              </w:rPr>
            </w:pPr>
            <w:r w:rsidRPr="00783D4A">
              <w:rPr>
                <w:rFonts w:ascii="Arial" w:hAnsi="Arial" w:cs="Arial"/>
                <w:sz w:val="20"/>
                <w:szCs w:val="20"/>
              </w:rPr>
              <w:t xml:space="preserve">[T]he provisions of this subchapter and subchapter III shall supersede </w:t>
            </w:r>
            <w:r w:rsidRPr="00783D4A">
              <w:rPr>
                <w:rFonts w:ascii="Arial" w:hAnsi="Arial" w:cs="Arial"/>
                <w:sz w:val="20"/>
                <w:szCs w:val="20"/>
              </w:rPr>
              <w:t>any and all</w:t>
            </w:r>
            <w:r w:rsidRPr="00783D4A">
              <w:rPr>
                <w:rFonts w:ascii="Arial" w:hAnsi="Arial" w:cs="Arial"/>
                <w:sz w:val="20"/>
                <w:szCs w:val="20"/>
              </w:rPr>
              <w:t xml:space="preserve"> State laws insofar as they may now or hereafter relate to any employee benefit plan…</w:t>
            </w:r>
          </w:p>
        </w:tc>
      </w:tr>
      <w:tr w14:paraId="45AD6E9A" w14:textId="77777777" w:rsidTr="000435D2">
        <w:tblPrEx>
          <w:tblW w:w="14125" w:type="dxa"/>
          <w:tblInd w:w="-720" w:type="dxa"/>
          <w:tblLook w:val="04A0"/>
        </w:tblPrEx>
        <w:tc>
          <w:tcPr>
            <w:tcW w:w="14125" w:type="dxa"/>
            <w:gridSpan w:val="3"/>
            <w:tcBorders>
              <w:bottom w:val="single" w:sz="4" w:space="0" w:color="auto"/>
            </w:tcBorders>
            <w:shd w:val="clear" w:color="auto" w:fill="00A290"/>
          </w:tcPr>
          <w:p w:rsidR="00966C63" w:rsidRPr="00783D4A" w:rsidP="00783D4A" w14:paraId="0367F1A1" w14:textId="78BCEF57">
            <w:pPr>
              <w:spacing w:before="120" w:after="120"/>
              <w:jc w:val="center"/>
              <w:rPr>
                <w:rFonts w:ascii="Arial" w:hAnsi="Arial" w:cs="Arial"/>
                <w:b/>
                <w:bCs/>
                <w:color w:val="FFFFFF" w:themeColor="background1"/>
                <w:sz w:val="22"/>
                <w:szCs w:val="22"/>
              </w:rPr>
            </w:pPr>
            <w:r w:rsidRPr="00783D4A">
              <w:rPr>
                <w:rFonts w:ascii="Arial" w:hAnsi="Arial" w:cs="Arial"/>
                <w:b/>
                <w:bCs/>
                <w:color w:val="FFFFFF" w:themeColor="background1"/>
                <w:sz w:val="22"/>
                <w:szCs w:val="22"/>
              </w:rPr>
              <w:t>The Evolving Case Law</w:t>
            </w:r>
          </w:p>
        </w:tc>
      </w:tr>
      <w:tr w14:paraId="3D9CF682" w14:textId="77777777" w:rsidTr="000435D2">
        <w:tblPrEx>
          <w:tblW w:w="14125" w:type="dxa"/>
          <w:tblInd w:w="-720" w:type="dxa"/>
          <w:tblLook w:val="04A0"/>
        </w:tblPrEx>
        <w:tc>
          <w:tcPr>
            <w:tcW w:w="14125" w:type="dxa"/>
            <w:gridSpan w:val="3"/>
            <w:tcBorders>
              <w:top w:val="single" w:sz="4" w:space="0" w:color="auto"/>
              <w:left w:val="single" w:sz="4" w:space="0" w:color="auto"/>
              <w:bottom w:val="nil"/>
              <w:right w:val="single" w:sz="4" w:space="0" w:color="auto"/>
            </w:tcBorders>
          </w:tcPr>
          <w:p w:rsidR="00537378" w:rsidRPr="00783D4A" w:rsidP="00783D4A" w14:paraId="7E271D53" w14:textId="4559F649">
            <w:pPr>
              <w:spacing w:before="120" w:after="120"/>
              <w:rPr>
                <w:rFonts w:ascii="Arial" w:hAnsi="Arial" w:cs="Arial"/>
                <w:sz w:val="20"/>
                <w:szCs w:val="20"/>
              </w:rPr>
            </w:pPr>
            <w:r w:rsidRPr="00783D4A">
              <w:rPr>
                <w:rFonts w:ascii="Arial" w:hAnsi="Arial" w:cs="Arial"/>
                <w:sz w:val="20"/>
                <w:szCs w:val="20"/>
              </w:rPr>
              <w:t xml:space="preserve">The contours of ERISA preemption have expanded and contracted over time, but within a narrow band.  The earlier cases read the provision expansively, latter cases less so. Since 1995, with the Supreme Court’s decision in </w:t>
            </w:r>
            <w:r w:rsidRPr="00783D4A">
              <w:rPr>
                <w:rFonts w:ascii="Arial" w:hAnsi="Arial" w:cs="Arial"/>
                <w:i/>
                <w:iCs/>
                <w:sz w:val="20"/>
                <w:szCs w:val="20"/>
              </w:rPr>
              <w:t>New York State Conference of Blue Cross &amp; Blue Shield Plans v. Travelers Ins. Co.</w:t>
            </w:r>
            <w:r w:rsidRPr="00783D4A">
              <w:rPr>
                <w:rFonts w:ascii="Arial" w:hAnsi="Arial" w:cs="Arial"/>
                <w:sz w:val="20"/>
                <w:szCs w:val="20"/>
              </w:rPr>
              <w:t xml:space="preserve">, 514 U.S. 645 (1995) and two subsequent cases (sometimes collectively referred to as the “Travelers Trilogy”), the categories of state laws that are preempted are those that: </w:t>
            </w:r>
          </w:p>
        </w:tc>
      </w:tr>
      <w:tr w14:paraId="7E1BD72B" w14:textId="77777777" w:rsidTr="000435D2">
        <w:tblPrEx>
          <w:tblW w:w="14125" w:type="dxa"/>
          <w:tblInd w:w="-720" w:type="dxa"/>
          <w:tblLook w:val="04A0"/>
        </w:tblPrEx>
        <w:trPr>
          <w:trHeight w:val="917"/>
        </w:trPr>
        <w:tc>
          <w:tcPr>
            <w:tcW w:w="4585" w:type="dxa"/>
            <w:tcBorders>
              <w:top w:val="nil"/>
              <w:left w:val="single" w:sz="4" w:space="0" w:color="auto"/>
              <w:bottom w:val="single" w:sz="4" w:space="0" w:color="auto"/>
              <w:right w:val="nil"/>
            </w:tcBorders>
          </w:tcPr>
          <w:p w:rsidR="00BB6EA9" w:rsidRPr="00783D4A" w:rsidP="00EC56D9" w14:paraId="49A9AEB8" w14:textId="1447D628">
            <w:pPr>
              <w:pStyle w:val="ListParagraph"/>
              <w:numPr>
                <w:ilvl w:val="0"/>
                <w:numId w:val="13"/>
              </w:numPr>
              <w:spacing w:before="120" w:after="120"/>
              <w:ind w:left="420"/>
              <w:contextualSpacing w:val="0"/>
              <w:rPr>
                <w:rFonts w:ascii="Arial" w:hAnsi="Arial" w:cs="Arial"/>
                <w:sz w:val="20"/>
                <w:szCs w:val="20"/>
              </w:rPr>
            </w:pPr>
            <w:r w:rsidRPr="00783D4A">
              <w:rPr>
                <w:rFonts w:ascii="Arial" w:hAnsi="Arial" w:cs="Arial"/>
                <w:sz w:val="20"/>
                <w:szCs w:val="20"/>
              </w:rPr>
              <w:t>Mandate employee benefit structures or their administration</w:t>
            </w:r>
          </w:p>
        </w:tc>
        <w:tc>
          <w:tcPr>
            <w:tcW w:w="4410" w:type="dxa"/>
            <w:tcBorders>
              <w:top w:val="nil"/>
              <w:left w:val="nil"/>
              <w:bottom w:val="single" w:sz="4" w:space="0" w:color="auto"/>
              <w:right w:val="nil"/>
            </w:tcBorders>
          </w:tcPr>
          <w:p w:rsidR="00BB6EA9" w:rsidRPr="00783D4A" w:rsidP="00EC56D9" w14:paraId="0DA0AC5A" w14:textId="22EF7375">
            <w:pPr>
              <w:pStyle w:val="ListParagraph"/>
              <w:numPr>
                <w:ilvl w:val="0"/>
                <w:numId w:val="13"/>
              </w:numPr>
              <w:spacing w:before="120" w:after="120"/>
              <w:ind w:left="420"/>
              <w:contextualSpacing w:val="0"/>
              <w:rPr>
                <w:rFonts w:ascii="Arial" w:hAnsi="Arial" w:cs="Arial"/>
                <w:sz w:val="20"/>
                <w:szCs w:val="20"/>
              </w:rPr>
            </w:pPr>
            <w:r w:rsidRPr="00783D4A">
              <w:rPr>
                <w:rFonts w:ascii="Arial" w:hAnsi="Arial" w:cs="Arial"/>
                <w:sz w:val="20"/>
                <w:szCs w:val="20"/>
              </w:rPr>
              <w:t>Mandate employee benefit structures or their administration</w:t>
            </w:r>
          </w:p>
        </w:tc>
        <w:tc>
          <w:tcPr>
            <w:tcW w:w="5130" w:type="dxa"/>
            <w:tcBorders>
              <w:top w:val="nil"/>
              <w:left w:val="nil"/>
              <w:bottom w:val="single" w:sz="4" w:space="0" w:color="auto"/>
              <w:right w:val="single" w:sz="4" w:space="0" w:color="auto"/>
            </w:tcBorders>
          </w:tcPr>
          <w:p w:rsidR="00BB6EA9" w:rsidRPr="00783D4A" w:rsidP="00EC56D9" w14:paraId="6800B490" w14:textId="572D0873">
            <w:pPr>
              <w:pStyle w:val="ListParagraph"/>
              <w:numPr>
                <w:ilvl w:val="0"/>
                <w:numId w:val="13"/>
              </w:numPr>
              <w:spacing w:before="120" w:after="120"/>
              <w:ind w:left="420"/>
              <w:contextualSpacing w:val="0"/>
              <w:rPr>
                <w:rFonts w:ascii="Arial" w:hAnsi="Arial" w:cs="Arial"/>
                <w:sz w:val="20"/>
                <w:szCs w:val="20"/>
              </w:rPr>
            </w:pPr>
            <w:r w:rsidRPr="00783D4A">
              <w:rPr>
                <w:rFonts w:ascii="Arial" w:hAnsi="Arial" w:cs="Arial"/>
                <w:sz w:val="20"/>
                <w:szCs w:val="20"/>
              </w:rPr>
              <w:t>Provide alternative enforcement mechanisms to ERISA's civil enforcement provision</w:t>
            </w:r>
          </w:p>
        </w:tc>
      </w:tr>
      <w:tr w14:paraId="71575926" w14:textId="77777777" w:rsidTr="000435D2">
        <w:tblPrEx>
          <w:tblW w:w="14125" w:type="dxa"/>
          <w:tblInd w:w="-720" w:type="dxa"/>
          <w:tblLook w:val="04A0"/>
        </w:tblPrEx>
        <w:tc>
          <w:tcPr>
            <w:tcW w:w="14125" w:type="dxa"/>
            <w:gridSpan w:val="3"/>
            <w:tcBorders>
              <w:top w:val="single" w:sz="4" w:space="0" w:color="auto"/>
            </w:tcBorders>
            <w:shd w:val="clear" w:color="auto" w:fill="00A290"/>
          </w:tcPr>
          <w:p w:rsidR="00133F7C" w:rsidRPr="00783D4A" w:rsidP="00783D4A" w14:paraId="7007ABD1" w14:textId="526B92E0">
            <w:pPr>
              <w:spacing w:before="120" w:after="120"/>
              <w:jc w:val="center"/>
              <w:rPr>
                <w:rFonts w:ascii="Arial" w:hAnsi="Arial" w:cs="Arial"/>
                <w:b/>
                <w:bCs/>
                <w:color w:val="FFFFFF" w:themeColor="background1"/>
                <w:sz w:val="22"/>
                <w:szCs w:val="22"/>
              </w:rPr>
            </w:pPr>
            <w:r w:rsidRPr="00783D4A">
              <w:rPr>
                <w:rFonts w:ascii="Arial" w:hAnsi="Arial" w:cs="Arial"/>
                <w:b/>
                <w:bCs/>
                <w:color w:val="FFFFFF" w:themeColor="background1"/>
                <w:sz w:val="22"/>
                <w:szCs w:val="22"/>
              </w:rPr>
              <w:t xml:space="preserve">The Lead-up to and Future Consequences of </w:t>
            </w:r>
            <w:r w:rsidRPr="00783D4A">
              <w:rPr>
                <w:rFonts w:ascii="Arial" w:hAnsi="Arial" w:cs="Arial"/>
                <w:b/>
                <w:bCs/>
                <w:i/>
                <w:iCs/>
                <w:color w:val="FFFFFF" w:themeColor="background1"/>
                <w:sz w:val="22"/>
                <w:szCs w:val="22"/>
              </w:rPr>
              <w:t>Rutledge</w:t>
            </w:r>
          </w:p>
        </w:tc>
      </w:tr>
      <w:tr w14:paraId="59AEE9AC" w14:textId="77777777" w:rsidTr="000435D2">
        <w:tblPrEx>
          <w:tblW w:w="14125" w:type="dxa"/>
          <w:tblInd w:w="-720" w:type="dxa"/>
          <w:tblLook w:val="04A0"/>
        </w:tblPrEx>
        <w:tc>
          <w:tcPr>
            <w:tcW w:w="4585" w:type="dxa"/>
            <w:shd w:val="clear" w:color="auto" w:fill="D9D9D9" w:themeFill="background1" w:themeFillShade="D9"/>
          </w:tcPr>
          <w:p w:rsidR="009E2579" w:rsidRPr="00783D4A" w:rsidP="00EC56D9" w14:paraId="4C6175A7" w14:textId="526E40C1">
            <w:pPr>
              <w:spacing w:before="120" w:after="120"/>
              <w:rPr>
                <w:rFonts w:ascii="Arial" w:hAnsi="Arial" w:cs="Arial"/>
                <w:b/>
                <w:bCs/>
                <w:sz w:val="20"/>
                <w:szCs w:val="20"/>
              </w:rPr>
            </w:pPr>
            <w:r w:rsidRPr="00783D4A">
              <w:rPr>
                <w:rFonts w:ascii="Arial" w:hAnsi="Arial" w:cs="Arial"/>
                <w:b/>
                <w:bCs/>
                <w:i/>
                <w:iCs/>
                <w:sz w:val="20"/>
                <w:szCs w:val="20"/>
              </w:rPr>
              <w:t>Gobeille</w:t>
            </w:r>
            <w:r w:rsidRPr="00783D4A">
              <w:rPr>
                <w:rFonts w:ascii="Arial" w:hAnsi="Arial" w:cs="Arial"/>
                <w:b/>
                <w:bCs/>
                <w:i/>
                <w:iCs/>
                <w:sz w:val="20"/>
                <w:szCs w:val="20"/>
              </w:rPr>
              <w:t xml:space="preserve"> v. Liberty Mutual Ins. Co.</w:t>
            </w:r>
            <w:r w:rsidRPr="00783D4A">
              <w:rPr>
                <w:rFonts w:ascii="Arial" w:hAnsi="Arial" w:cs="Arial"/>
                <w:b/>
                <w:bCs/>
                <w:sz w:val="20"/>
                <w:szCs w:val="20"/>
              </w:rPr>
              <w:t xml:space="preserve">, 136 </w:t>
            </w:r>
            <w:r w:rsidRPr="00783D4A">
              <w:rPr>
                <w:rFonts w:ascii="Arial" w:hAnsi="Arial" w:cs="Arial"/>
                <w:b/>
                <w:bCs/>
                <w:sz w:val="20"/>
                <w:szCs w:val="20"/>
              </w:rPr>
              <w:t>S.Ct</w:t>
            </w:r>
            <w:r w:rsidRPr="00783D4A">
              <w:rPr>
                <w:rFonts w:ascii="Arial" w:hAnsi="Arial" w:cs="Arial"/>
                <w:b/>
                <w:bCs/>
                <w:sz w:val="20"/>
                <w:szCs w:val="20"/>
              </w:rPr>
              <w:t xml:space="preserve">. 936 (2016) </w:t>
            </w:r>
          </w:p>
        </w:tc>
        <w:tc>
          <w:tcPr>
            <w:tcW w:w="4410" w:type="dxa"/>
            <w:shd w:val="clear" w:color="auto" w:fill="D9D9D9" w:themeFill="background1" w:themeFillShade="D9"/>
          </w:tcPr>
          <w:p w:rsidR="009E2579" w:rsidRPr="00783D4A" w:rsidP="00EC56D9" w14:paraId="51EB7224" w14:textId="6AB70F17">
            <w:pPr>
              <w:spacing w:before="120" w:after="120"/>
              <w:rPr>
                <w:rFonts w:ascii="Arial" w:hAnsi="Arial" w:cs="Arial"/>
                <w:b/>
                <w:bCs/>
                <w:sz w:val="20"/>
                <w:szCs w:val="20"/>
              </w:rPr>
            </w:pPr>
            <w:r w:rsidRPr="00783D4A">
              <w:rPr>
                <w:rFonts w:ascii="Arial" w:hAnsi="Arial" w:cs="Arial"/>
                <w:b/>
                <w:bCs/>
                <w:i/>
                <w:iCs/>
                <w:sz w:val="20"/>
                <w:szCs w:val="20"/>
              </w:rPr>
              <w:t>Rutledge v. Pharmaceutical Care Management Association</w:t>
            </w:r>
            <w:r w:rsidRPr="00783D4A">
              <w:rPr>
                <w:rFonts w:ascii="Arial" w:hAnsi="Arial" w:cs="Arial"/>
                <w:b/>
                <w:bCs/>
                <w:sz w:val="20"/>
                <w:szCs w:val="20"/>
              </w:rPr>
              <w:t>, 41 S. Ct. 474 (2020)</w:t>
            </w:r>
          </w:p>
        </w:tc>
        <w:tc>
          <w:tcPr>
            <w:tcW w:w="5130" w:type="dxa"/>
            <w:shd w:val="clear" w:color="auto" w:fill="D9D9D9" w:themeFill="background1" w:themeFillShade="D9"/>
          </w:tcPr>
          <w:p w:rsidR="009E2579" w:rsidRPr="00783D4A" w:rsidP="00EC56D9" w14:paraId="5086AD30" w14:textId="0BCAE38A">
            <w:pPr>
              <w:spacing w:before="120" w:after="120"/>
              <w:rPr>
                <w:b/>
                <w:bCs/>
                <w:sz w:val="22"/>
                <w:szCs w:val="22"/>
              </w:rPr>
            </w:pPr>
            <w:r w:rsidRPr="00783D4A">
              <w:rPr>
                <w:rFonts w:asciiTheme="minorHAnsi" w:hAnsiTheme="minorHAnsi" w:cstheme="minorHAnsi"/>
                <w:b/>
                <w:bCs/>
                <w:i/>
                <w:iCs/>
                <w:sz w:val="22"/>
                <w:szCs w:val="22"/>
              </w:rPr>
              <w:t>Post Rutledge: Emerging challenges</w:t>
            </w:r>
          </w:p>
        </w:tc>
      </w:tr>
      <w:tr w14:paraId="6791D03A" w14:textId="77777777" w:rsidTr="000435D2">
        <w:tblPrEx>
          <w:tblW w:w="14125" w:type="dxa"/>
          <w:tblInd w:w="-720" w:type="dxa"/>
          <w:tblLook w:val="04A0"/>
        </w:tblPrEx>
        <w:tc>
          <w:tcPr>
            <w:tcW w:w="4585" w:type="dxa"/>
          </w:tcPr>
          <w:p w:rsidR="00800EE4" w:rsidP="00EC56D9" w14:paraId="498864C2" w14:textId="77777777">
            <w:pPr>
              <w:spacing w:before="120" w:after="120"/>
              <w:rPr>
                <w:rFonts w:ascii="Arial" w:hAnsi="Arial" w:cs="Arial"/>
                <w:sz w:val="20"/>
                <w:szCs w:val="20"/>
              </w:rPr>
            </w:pPr>
            <w:r w:rsidRPr="00783D4A">
              <w:rPr>
                <w:rFonts w:ascii="Arial" w:hAnsi="Arial" w:cs="Arial"/>
                <w:sz w:val="20"/>
                <w:szCs w:val="20"/>
              </w:rPr>
              <w:t xml:space="preserve">The Supreme Court invalidated a Vermont law that required all group health plans (self-funded plans included) to report comprehensive medical claims data. According to the Court, the law had an impermissible effect on plan administration. Importantly, the case affirmed the post-travels ERISA preemption standards. </w:t>
            </w:r>
          </w:p>
          <w:p w:rsidR="000435D2" w:rsidRPr="00783D4A" w:rsidP="00EC56D9" w14:paraId="26474028" w14:textId="234C849E">
            <w:pPr>
              <w:spacing w:before="120" w:after="120"/>
              <w:rPr>
                <w:rFonts w:ascii="Arial" w:hAnsi="Arial" w:cs="Arial"/>
                <w:sz w:val="20"/>
                <w:szCs w:val="20"/>
              </w:rPr>
            </w:pPr>
          </w:p>
        </w:tc>
        <w:tc>
          <w:tcPr>
            <w:tcW w:w="4410" w:type="dxa"/>
          </w:tcPr>
          <w:p w:rsidR="00800EE4" w:rsidRPr="00783D4A" w:rsidP="00EC56D9" w14:paraId="1674FBC0" w14:textId="45BD914E">
            <w:pPr>
              <w:spacing w:before="120" w:after="120"/>
              <w:rPr>
                <w:rFonts w:ascii="Arial" w:hAnsi="Arial" w:cs="Arial"/>
                <w:sz w:val="20"/>
                <w:szCs w:val="20"/>
              </w:rPr>
            </w:pPr>
            <w:r w:rsidRPr="00783D4A">
              <w:rPr>
                <w:rFonts w:ascii="Arial" w:hAnsi="Arial" w:cs="Arial"/>
                <w:sz w:val="20"/>
                <w:szCs w:val="20"/>
              </w:rPr>
              <w:t xml:space="preserve">The Supreme Court upheld an Arkansas law governing pharmacy benefits, which it charactered as “merely a form of cost regulation.” </w:t>
            </w:r>
          </w:p>
        </w:tc>
        <w:tc>
          <w:tcPr>
            <w:tcW w:w="5130" w:type="dxa"/>
          </w:tcPr>
          <w:p w:rsidR="00800EE4" w:rsidRPr="004E506C" w:rsidP="00EC56D9" w14:paraId="147C2E43" w14:textId="77777777">
            <w:pPr>
              <w:spacing w:before="120" w:after="120"/>
              <w:rPr>
                <w:rFonts w:asciiTheme="minorHAnsi" w:hAnsiTheme="minorHAnsi" w:cstheme="minorHAnsi"/>
                <w:sz w:val="22"/>
                <w:szCs w:val="22"/>
              </w:rPr>
            </w:pPr>
            <w:r>
              <w:rPr>
                <w:rFonts w:asciiTheme="minorHAnsi" w:hAnsiTheme="minorHAnsi" w:cstheme="minorHAnsi"/>
                <w:sz w:val="22"/>
                <w:szCs w:val="22"/>
              </w:rPr>
              <w:t xml:space="preserve">States have read </w:t>
            </w:r>
            <w:r w:rsidRPr="00FB5482">
              <w:rPr>
                <w:rFonts w:asciiTheme="minorHAnsi" w:hAnsiTheme="minorHAnsi" w:cstheme="minorHAnsi"/>
                <w:i/>
                <w:iCs/>
                <w:sz w:val="22"/>
                <w:szCs w:val="22"/>
              </w:rPr>
              <w:t>Rutledge</w:t>
            </w:r>
            <w:r>
              <w:rPr>
                <w:rFonts w:asciiTheme="minorHAnsi" w:hAnsiTheme="minorHAnsi" w:cstheme="minorHAnsi"/>
                <w:sz w:val="22"/>
                <w:szCs w:val="22"/>
              </w:rPr>
              <w:t xml:space="preserve"> broadly to furnish license to freely regulate in the pharmacy space. </w:t>
            </w:r>
          </w:p>
          <w:p w:rsidR="00800EE4" w:rsidP="00EC56D9" w14:paraId="20EAB797" w14:textId="77777777">
            <w:pPr>
              <w:spacing w:before="120" w:after="120"/>
              <w:rPr>
                <w:sz w:val="22"/>
                <w:szCs w:val="22"/>
              </w:rPr>
            </w:pPr>
          </w:p>
        </w:tc>
      </w:tr>
      <w:tr w14:paraId="3573DE85" w14:textId="77777777" w:rsidTr="000435D2">
        <w:tblPrEx>
          <w:tblW w:w="14125" w:type="dxa"/>
          <w:tblInd w:w="-720" w:type="dxa"/>
          <w:tblLook w:val="04A0"/>
        </w:tblPrEx>
        <w:tc>
          <w:tcPr>
            <w:tcW w:w="14125" w:type="dxa"/>
            <w:gridSpan w:val="3"/>
            <w:shd w:val="clear" w:color="auto" w:fill="00A290"/>
          </w:tcPr>
          <w:p w:rsidR="00200C63" w:rsidRPr="00783D4A" w:rsidP="00783D4A" w14:paraId="4CA372B1" w14:textId="0FA11553">
            <w:pPr>
              <w:spacing w:before="120" w:after="120"/>
              <w:jc w:val="center"/>
              <w:rPr>
                <w:rFonts w:ascii="Arial" w:hAnsi="Arial" w:cs="Arial"/>
                <w:b/>
                <w:bCs/>
                <w:color w:val="FFFFFF" w:themeColor="background1"/>
                <w:sz w:val="22"/>
                <w:szCs w:val="22"/>
              </w:rPr>
            </w:pPr>
            <w:r w:rsidRPr="00783D4A">
              <w:rPr>
                <w:rFonts w:ascii="Arial" w:hAnsi="Arial" w:cs="Arial"/>
                <w:b/>
                <w:bCs/>
                <w:color w:val="FFFFFF" w:themeColor="background1"/>
                <w:sz w:val="22"/>
                <w:szCs w:val="22"/>
              </w:rPr>
              <w:t>The Current Limits of ERISA Preemption of State Pharmacy Law</w:t>
            </w:r>
          </w:p>
        </w:tc>
      </w:tr>
      <w:tr w14:paraId="1B95A675" w14:textId="77777777" w:rsidTr="000435D2">
        <w:tblPrEx>
          <w:tblW w:w="14125" w:type="dxa"/>
          <w:tblInd w:w="-720" w:type="dxa"/>
          <w:tblLook w:val="04A0"/>
        </w:tblPrEx>
        <w:tc>
          <w:tcPr>
            <w:tcW w:w="14125" w:type="dxa"/>
            <w:gridSpan w:val="3"/>
          </w:tcPr>
          <w:p w:rsidR="00783D4A" w:rsidRPr="00783D4A" w:rsidP="00783D4A" w14:paraId="36F05295" w14:textId="77777777">
            <w:pPr>
              <w:pStyle w:val="ListParagraph"/>
              <w:numPr>
                <w:ilvl w:val="0"/>
                <w:numId w:val="12"/>
              </w:numPr>
              <w:spacing w:before="120" w:after="120"/>
              <w:rPr>
                <w:rFonts w:ascii="Arial" w:hAnsi="Arial" w:cs="Arial"/>
                <w:sz w:val="20"/>
                <w:szCs w:val="20"/>
              </w:rPr>
            </w:pPr>
            <w:r w:rsidRPr="00783D4A">
              <w:rPr>
                <w:rFonts w:ascii="Arial" w:hAnsi="Arial" w:cs="Arial"/>
                <w:i/>
                <w:iCs/>
                <w:sz w:val="20"/>
                <w:szCs w:val="20"/>
              </w:rPr>
              <w:t>Rutledge</w:t>
            </w:r>
            <w:r w:rsidRPr="00783D4A">
              <w:rPr>
                <w:rFonts w:ascii="Arial" w:hAnsi="Arial" w:cs="Arial"/>
                <w:sz w:val="20"/>
                <w:szCs w:val="20"/>
              </w:rPr>
              <w:t xml:space="preserve"> acknowledges and respects ERISA’s concern for uniformity respective plan structure, benefit choices, and beneficiary status, which are “central matter[s] of plan administration.” But it’s core holding is that not every state law that affects an ERISA plan has an impermissible connection with and ERISA plan. This is, according to the Court is “especially so when a law merely affects costs.” This holding is on fours with </w:t>
            </w:r>
            <w:r w:rsidRPr="00783D4A">
              <w:rPr>
                <w:rFonts w:ascii="Arial" w:hAnsi="Arial" w:cs="Arial"/>
                <w:i/>
                <w:iCs/>
                <w:sz w:val="20"/>
                <w:szCs w:val="20"/>
              </w:rPr>
              <w:t>Travelers</w:t>
            </w:r>
            <w:r w:rsidRPr="00783D4A">
              <w:rPr>
                <w:rFonts w:ascii="Arial" w:hAnsi="Arial" w:cs="Arial"/>
                <w:sz w:val="20"/>
                <w:szCs w:val="20"/>
              </w:rPr>
              <w:t xml:space="preserve">. </w:t>
            </w:r>
          </w:p>
          <w:p w:rsidR="00783D4A" w:rsidRPr="00783D4A" w:rsidP="00783D4A" w14:paraId="3C9CF14D" w14:textId="77777777">
            <w:pPr>
              <w:rPr>
                <w:rFonts w:ascii="Arial" w:hAnsi="Arial" w:cs="Arial"/>
                <w:sz w:val="20"/>
                <w:szCs w:val="20"/>
              </w:rPr>
            </w:pPr>
          </w:p>
          <w:p w:rsidR="00783D4A" w:rsidP="00783D4A" w14:paraId="452B72F9" w14:textId="77777777">
            <w:pPr>
              <w:pStyle w:val="ListParagraph"/>
              <w:numPr>
                <w:ilvl w:val="0"/>
                <w:numId w:val="12"/>
              </w:numPr>
              <w:rPr>
                <w:rFonts w:ascii="Arial" w:hAnsi="Arial" w:cs="Arial"/>
                <w:sz w:val="20"/>
                <w:szCs w:val="20"/>
              </w:rPr>
            </w:pPr>
            <w:r w:rsidRPr="00783D4A">
              <w:rPr>
                <w:rFonts w:ascii="Arial" w:hAnsi="Arial" w:cs="Arial"/>
                <w:sz w:val="20"/>
                <w:szCs w:val="20"/>
              </w:rPr>
              <w:t xml:space="preserve">There is, however, a troubling aspect of </w:t>
            </w:r>
            <w:r w:rsidRPr="00783D4A">
              <w:rPr>
                <w:rFonts w:ascii="Arial" w:hAnsi="Arial" w:cs="Arial"/>
                <w:i/>
                <w:iCs/>
                <w:sz w:val="20"/>
                <w:szCs w:val="20"/>
              </w:rPr>
              <w:t>Rutledge</w:t>
            </w:r>
            <w:r w:rsidRPr="00783D4A">
              <w:rPr>
                <w:rFonts w:ascii="Arial" w:hAnsi="Arial" w:cs="Arial"/>
                <w:sz w:val="20"/>
                <w:szCs w:val="20"/>
              </w:rPr>
              <w:t xml:space="preserve"> that bears watching: to what extend can a state regulate a plan’s intermediaries? </w:t>
            </w:r>
            <w:r w:rsidRPr="00783D4A">
              <w:rPr>
                <w:rFonts w:ascii="Arial" w:hAnsi="Arial" w:cs="Arial"/>
                <w:i/>
                <w:iCs/>
                <w:sz w:val="20"/>
                <w:szCs w:val="20"/>
              </w:rPr>
              <w:t>Rutledge</w:t>
            </w:r>
            <w:r w:rsidRPr="00783D4A">
              <w:rPr>
                <w:rFonts w:ascii="Arial" w:hAnsi="Arial" w:cs="Arial"/>
                <w:sz w:val="20"/>
                <w:szCs w:val="20"/>
              </w:rPr>
              <w:t xml:space="preserve"> held that state regulation of an intermediary contracted by a health plan does not “directly regulate health benefit plans at all.” This logic, taken to its extreme, would appear to apply to many types of entities that health plans hire to perform administrative functions, including </w:t>
            </w:r>
            <w:r w:rsidRPr="00783D4A">
              <w:rPr>
                <w:rFonts w:ascii="Arial" w:hAnsi="Arial" w:cs="Arial"/>
                <w:sz w:val="20"/>
                <w:szCs w:val="20"/>
              </w:rPr>
              <w:t>PBMs</w:t>
            </w:r>
            <w:r w:rsidRPr="00783D4A">
              <w:rPr>
                <w:rFonts w:ascii="Arial" w:hAnsi="Arial" w:cs="Arial"/>
                <w:sz w:val="20"/>
                <w:szCs w:val="20"/>
              </w:rPr>
              <w:t>, third-party administrators, consultants, and other service providers.</w:t>
            </w:r>
          </w:p>
          <w:p w:rsidR="00783D4A" w:rsidRPr="00783D4A" w:rsidP="00783D4A" w14:paraId="241D8575" w14:textId="6E3A1458">
            <w:pPr>
              <w:pStyle w:val="ListParagraph"/>
              <w:rPr>
                <w:rFonts w:ascii="Arial" w:hAnsi="Arial" w:cs="Arial"/>
                <w:sz w:val="20"/>
                <w:szCs w:val="20"/>
              </w:rPr>
            </w:pPr>
          </w:p>
        </w:tc>
      </w:tr>
    </w:tbl>
    <w:p w:rsidR="00DE2457" w:rsidP="006A20C3" w14:paraId="43C4F952" w14:textId="77777777">
      <w:pPr>
        <w:ind w:left="-720"/>
        <w:rPr>
          <w:sz w:val="22"/>
          <w:szCs w:val="22"/>
        </w:rPr>
      </w:pPr>
    </w:p>
    <w:p w:rsidR="00DE2457" w:rsidP="006A20C3" w14:paraId="152F14F8" w14:textId="4A441DAC">
      <w:pPr>
        <w:ind w:left="-720"/>
        <w:rPr>
          <w:sz w:val="22"/>
          <w:szCs w:val="22"/>
        </w:rPr>
      </w:pPr>
    </w:p>
    <w:p w:rsidR="00DE2457" w:rsidP="006A20C3" w14:paraId="32333670" w14:textId="71BC3030">
      <w:pPr>
        <w:ind w:left="-720"/>
        <w:rPr>
          <w:sz w:val="22"/>
          <w:szCs w:val="22"/>
        </w:rPr>
      </w:pPr>
    </w:p>
    <w:p w:rsidR="00DE2457" w:rsidP="006A20C3" w14:paraId="5B91A8E8" w14:textId="7E09B5B4">
      <w:pPr>
        <w:ind w:left="-720"/>
        <w:rPr>
          <w:sz w:val="22"/>
          <w:szCs w:val="22"/>
        </w:rPr>
      </w:pPr>
    </w:p>
    <w:p w:rsidR="00DE2457" w:rsidP="006A20C3" w14:paraId="558CAA08" w14:textId="1063E7A0">
      <w:pPr>
        <w:ind w:left="-720"/>
        <w:rPr>
          <w:sz w:val="22"/>
          <w:szCs w:val="22"/>
        </w:rPr>
      </w:pPr>
    </w:p>
    <w:p w:rsidR="00DE2457" w:rsidP="006A20C3" w14:paraId="63B99C1F" w14:textId="62A73789">
      <w:pPr>
        <w:ind w:left="-720"/>
        <w:rPr>
          <w:sz w:val="22"/>
          <w:szCs w:val="22"/>
        </w:rPr>
      </w:pPr>
    </w:p>
    <w:p w:rsidR="00DE2457" w:rsidP="006A20C3" w14:paraId="440A80A6" w14:textId="4C793B59">
      <w:pPr>
        <w:ind w:left="-720"/>
        <w:rPr>
          <w:sz w:val="22"/>
          <w:szCs w:val="22"/>
        </w:rPr>
      </w:pPr>
    </w:p>
    <w:p w:rsidR="00DE2457" w:rsidP="006A20C3" w14:paraId="61E6A6F6" w14:textId="68A01F34">
      <w:pPr>
        <w:ind w:left="-720"/>
        <w:rPr>
          <w:sz w:val="22"/>
          <w:szCs w:val="22"/>
        </w:rPr>
      </w:pPr>
    </w:p>
    <w:p w:rsidR="00DE2457" w:rsidP="006A20C3" w14:paraId="61DA070C" w14:textId="044D4C8D">
      <w:pPr>
        <w:ind w:left="-720"/>
        <w:rPr>
          <w:sz w:val="22"/>
          <w:szCs w:val="22"/>
        </w:rPr>
      </w:pPr>
    </w:p>
    <w:p w:rsidR="00DE2457" w:rsidP="006A20C3" w14:paraId="247E73FF" w14:textId="2234CF03">
      <w:pPr>
        <w:ind w:left="-720"/>
        <w:rPr>
          <w:sz w:val="22"/>
          <w:szCs w:val="22"/>
        </w:rPr>
      </w:pPr>
    </w:p>
    <w:p w:rsidR="00DE2457" w:rsidP="006A20C3" w14:paraId="5EF6639B" w14:textId="2D581005">
      <w:pPr>
        <w:ind w:left="-720"/>
        <w:rPr>
          <w:sz w:val="22"/>
          <w:szCs w:val="22"/>
        </w:rPr>
      </w:pPr>
    </w:p>
    <w:p w:rsidR="00DE2457" w:rsidP="00783D4A" w14:paraId="1BDC0BFA" w14:textId="63C432E3">
      <w:pPr>
        <w:rPr>
          <w:sz w:val="22"/>
          <w:szCs w:val="22"/>
        </w:rPr>
      </w:pPr>
    </w:p>
    <w:sectPr w:rsidSect="00B77EBF">
      <w:headerReference w:type="default" r:id="rId7"/>
      <w:footerReference w:type="default" r:id="rId8"/>
      <w:footerReference w:type="first" r:id="rId9"/>
      <w:pgSz w:w="15840" w:h="12240" w:orient="landscape"/>
      <w:pgMar w:top="810" w:right="1440" w:bottom="108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02023" w:rsidP="00B02023" w14:paraId="2522D0E6" w14:textId="77B10D7E">
    <w:pPr>
      <w:pStyle w:val="Footer"/>
      <w:ind w:hanging="720"/>
      <w:rPr>
        <w:rFonts w:ascii="Arial" w:hAnsi="Arial" w:cs="Arial"/>
        <w:color w:val="808080" w:themeColor="background1" w:themeShade="80"/>
        <w:sz w:val="16"/>
        <w:szCs w:val="16"/>
      </w:rPr>
    </w:pPr>
    <w:r w:rsidRPr="00B02023">
      <w:rPr>
        <w:rFonts w:ascii="Arial" w:hAnsi="Arial" w:cs="Arial"/>
        <w:color w:val="808080" w:themeColor="background1" w:themeShade="80"/>
        <w:sz w:val="16"/>
        <w:szCs w:val="16"/>
      </w:rPr>
      <w:t>From Clinic-to-Courtroom – Legislation and Litigation Limiting Prescription Drug Practices | Alden J. Bianchi, McDermott Will &amp; Emery</w:t>
    </w:r>
  </w:p>
  <w:p w:rsidR="00B02023" w:rsidP="00B02023" w14:paraId="5E5F9BB9" w14:textId="77777777">
    <w:pPr>
      <w:pStyle w:val="Footer"/>
      <w:ind w:hanging="720"/>
      <w:rPr>
        <w:rFonts w:ascii="Arial" w:hAnsi="Arial" w:cs="Arial"/>
        <w:color w:val="808080" w:themeColor="background1" w:themeShade="80"/>
        <w:sz w:val="16"/>
        <w:szCs w:val="16"/>
      </w:rPr>
    </w:pPr>
  </w:p>
  <w:p w:rsidR="00B02023" w:rsidRPr="00B02023" w:rsidP="00B02023" w14:paraId="10B7FEE6" w14:textId="14E5F947">
    <w:pPr>
      <w:pStyle w:val="Footer"/>
      <w:jc w:val="right"/>
      <w:rPr>
        <w:rFonts w:ascii="Arial" w:hAnsi="Arial" w:cs="Arial"/>
        <w:b/>
        <w:bCs/>
        <w:color w:val="00A290"/>
      </w:rPr>
    </w:pPr>
    <w:r w:rsidRPr="00B02023">
      <w:rPr>
        <w:rFonts w:ascii="Arial" w:hAnsi="Arial" w:cs="Arial"/>
        <w:b/>
        <w:bCs/>
        <w:color w:val="00A290"/>
      </w:rPr>
      <w:t>mwe.com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45B6" w14:paraId="7BE3FD56" w14:textId="54991C4D">
    <w:pPr>
      <w:pStyle w:val="Footer"/>
      <w:rPr>
        <w:rFonts w:ascii="Arial" w:hAnsi="Arial" w:cs="Arial"/>
        <w:color w:val="808080" w:themeColor="background1" w:themeShade="80"/>
        <w:sz w:val="16"/>
        <w:szCs w:val="16"/>
      </w:rPr>
    </w:pPr>
    <w:r w:rsidRPr="00B02023">
      <w:rPr>
        <w:rFonts w:ascii="Arial" w:hAnsi="Arial" w:cs="Arial"/>
        <w:color w:val="808080" w:themeColor="background1" w:themeShade="80"/>
        <w:sz w:val="16"/>
        <w:szCs w:val="16"/>
      </w:rPr>
      <w:t>This may be considered attorney advertising. This material is for general information purposes only and should not be construed as legal advice or any other advice on any specific facts or circumstances. No one should act or refrain from acting based upon any information herein without seeking professional legal advice. McDermott Will &amp; Emery* (McDermott) makes no warranties, representations, or claims of any kind concerning the content herein.</w:t>
    </w:r>
    <w:r>
      <w:rPr>
        <w:rFonts w:ascii="Arial" w:hAnsi="Arial" w:cs="Arial"/>
        <w:color w:val="808080" w:themeColor="background1" w:themeShade="80"/>
        <w:sz w:val="16"/>
        <w:szCs w:val="16"/>
      </w:rPr>
      <w:t xml:space="preserve"> </w:t>
    </w:r>
    <w:r w:rsidRPr="00B02023">
      <w:rPr>
        <w:rFonts w:ascii="Arial" w:hAnsi="Arial" w:cs="Arial"/>
        <w:color w:val="808080" w:themeColor="background1" w:themeShade="80"/>
        <w:sz w:val="16"/>
        <w:szCs w:val="16"/>
      </w:rPr>
      <w:t>For a complete list of McDermott entities visit mwe.com/</w:t>
    </w:r>
    <w:r w:rsidRPr="00B02023">
      <w:rPr>
        <w:rFonts w:ascii="Arial" w:hAnsi="Arial" w:cs="Arial"/>
        <w:color w:val="808080" w:themeColor="background1" w:themeShade="80"/>
        <w:sz w:val="16"/>
        <w:szCs w:val="16"/>
      </w:rPr>
      <w:t>legalnotices</w:t>
    </w:r>
  </w:p>
  <w:p w:rsidR="00B02023" w:rsidRPr="00B02023" w14:paraId="4E1A562A" w14:textId="77777777">
    <w:pPr>
      <w:pStyle w:val="Footer"/>
      <w:rPr>
        <w:rFonts w:ascii="Arial" w:hAnsi="Arial" w:cs="Arial"/>
        <w:color w:val="808080" w:themeColor="background1" w:themeShade="80"/>
        <w:sz w:val="16"/>
        <w:szCs w:val="16"/>
      </w:rPr>
    </w:pPr>
  </w:p>
  <w:p w:rsidR="007145B6" w:rsidRPr="00B02023" w:rsidP="00B02023" w14:paraId="51E93D5D" w14:textId="49A914DD">
    <w:pPr>
      <w:pStyle w:val="Footer"/>
      <w:jc w:val="right"/>
      <w:rPr>
        <w:rFonts w:ascii="Arial" w:hAnsi="Arial" w:cs="Arial"/>
        <w:b/>
        <w:bCs/>
        <w:color w:val="00A290"/>
      </w:rPr>
    </w:pPr>
    <w:r w:rsidRPr="00B02023">
      <w:rPr>
        <w:rFonts w:ascii="Arial" w:hAnsi="Arial" w:cs="Arial"/>
        <w:b/>
        <w:bCs/>
        <w:color w:val="00A290"/>
      </w:rPr>
      <w:t>mwe.com</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7EBF" w14:paraId="4C2E4B39" w14:textId="03886D46">
    <w:pPr>
      <w:pStyle w:val="Header"/>
    </w:pPr>
  </w:p>
  <w:p w:rsidR="00B77EBF" w14:paraId="3290D225" w14:textId="16E5FF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83864AE2"/>
    <w:lvl w:ilvl="0">
      <w:start w:val="1"/>
      <w:numFmt w:val="decimal"/>
      <w:lvlText w:val="%1."/>
      <w:lvlJc w:val="left"/>
      <w:pPr>
        <w:tabs>
          <w:tab w:val="num" w:pos="1800"/>
        </w:tabs>
        <w:ind w:left="1800" w:hanging="360"/>
      </w:pPr>
    </w:lvl>
  </w:abstractNum>
  <w:abstractNum w:abstractNumId="1">
    <w:nsid w:val="FFFFFF7D"/>
    <w:multiLevelType w:val="singleLevel"/>
    <w:tmpl w:val="36A82792"/>
    <w:lvl w:ilvl="0">
      <w:start w:val="1"/>
      <w:numFmt w:val="decimal"/>
      <w:lvlText w:val="%1."/>
      <w:lvlJc w:val="left"/>
      <w:pPr>
        <w:tabs>
          <w:tab w:val="num" w:pos="1440"/>
        </w:tabs>
        <w:ind w:left="1440" w:hanging="360"/>
      </w:pPr>
    </w:lvl>
  </w:abstractNum>
  <w:abstractNum w:abstractNumId="2">
    <w:nsid w:val="FFFFFF7E"/>
    <w:multiLevelType w:val="singleLevel"/>
    <w:tmpl w:val="9750701A"/>
    <w:lvl w:ilvl="0">
      <w:start w:val="1"/>
      <w:numFmt w:val="decimal"/>
      <w:lvlText w:val="%1."/>
      <w:lvlJc w:val="left"/>
      <w:pPr>
        <w:tabs>
          <w:tab w:val="num" w:pos="1080"/>
        </w:tabs>
        <w:ind w:left="1080" w:hanging="360"/>
      </w:pPr>
    </w:lvl>
  </w:abstractNum>
  <w:abstractNum w:abstractNumId="3">
    <w:nsid w:val="FFFFFF7F"/>
    <w:multiLevelType w:val="singleLevel"/>
    <w:tmpl w:val="65C6B5B0"/>
    <w:lvl w:ilvl="0">
      <w:start w:val="1"/>
      <w:numFmt w:val="decimal"/>
      <w:lvlText w:val="%1."/>
      <w:lvlJc w:val="left"/>
      <w:pPr>
        <w:tabs>
          <w:tab w:val="num" w:pos="720"/>
        </w:tabs>
        <w:ind w:left="720" w:hanging="360"/>
      </w:pPr>
    </w:lvl>
  </w:abstractNum>
  <w:abstractNum w:abstractNumId="4">
    <w:nsid w:val="FFFFFF80"/>
    <w:multiLevelType w:val="singleLevel"/>
    <w:tmpl w:val="B43297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51A22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1143DF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5D00B7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F9C30A2"/>
    <w:lvl w:ilvl="0">
      <w:start w:val="1"/>
      <w:numFmt w:val="decimal"/>
      <w:lvlText w:val="%1."/>
      <w:lvlJc w:val="left"/>
      <w:pPr>
        <w:tabs>
          <w:tab w:val="num" w:pos="360"/>
        </w:tabs>
        <w:ind w:left="360" w:hanging="360"/>
      </w:pPr>
    </w:lvl>
  </w:abstractNum>
  <w:abstractNum w:abstractNumId="9">
    <w:nsid w:val="FFFFFF89"/>
    <w:multiLevelType w:val="singleLevel"/>
    <w:tmpl w:val="20EAF344"/>
    <w:lvl w:ilvl="0">
      <w:start w:val="1"/>
      <w:numFmt w:val="bullet"/>
      <w:lvlText w:val=""/>
      <w:lvlJc w:val="left"/>
      <w:pPr>
        <w:tabs>
          <w:tab w:val="num" w:pos="360"/>
        </w:tabs>
        <w:ind w:left="360" w:hanging="360"/>
      </w:pPr>
      <w:rPr>
        <w:rFonts w:ascii="Symbol" w:hAnsi="Symbol" w:hint="default"/>
      </w:rPr>
    </w:lvl>
  </w:abstractNum>
  <w:abstractNum w:abstractNumId="10">
    <w:nsid w:val="08E20708"/>
    <w:multiLevelType w:val="hybridMultilevel"/>
    <w:tmpl w:val="B97AFD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D0A6B65"/>
    <w:multiLevelType w:val="hybridMultilevel"/>
    <w:tmpl w:val="56989E60"/>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04D02B8"/>
    <w:multiLevelType w:val="hybridMultilevel"/>
    <w:tmpl w:val="89B8E8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D024" w:allStyles="0" w:alternateStyleNames="1" w:clearFormatting="1" w:customStyles="0" w:directFormattingOnNumbering="0" w:directFormattingOnParagraphs="0" w:directFormattingOnRuns="0" w:directFormattingOnTables="0" w:headingStyles="1" w:latentStyles="1" w:numberingStyles="0" w:stylesInUse="0" w:tableStyles="0" w:top3HeadingStyles="0" w:visibleStyles="1"/>
  <w:stylePaneSortMethod w:val="name"/>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EBF"/>
    <w:rsid w:val="000435D2"/>
    <w:rsid w:val="00043E12"/>
    <w:rsid w:val="0008557D"/>
    <w:rsid w:val="00094674"/>
    <w:rsid w:val="000B0659"/>
    <w:rsid w:val="00102FDA"/>
    <w:rsid w:val="00124C80"/>
    <w:rsid w:val="00133F7C"/>
    <w:rsid w:val="001469AE"/>
    <w:rsid w:val="00150C5D"/>
    <w:rsid w:val="00190876"/>
    <w:rsid w:val="00200C63"/>
    <w:rsid w:val="0022006F"/>
    <w:rsid w:val="002F2FA9"/>
    <w:rsid w:val="0030222F"/>
    <w:rsid w:val="00352CCC"/>
    <w:rsid w:val="003D68E6"/>
    <w:rsid w:val="00460E22"/>
    <w:rsid w:val="00485D65"/>
    <w:rsid w:val="004E506C"/>
    <w:rsid w:val="00537378"/>
    <w:rsid w:val="00537881"/>
    <w:rsid w:val="005529CE"/>
    <w:rsid w:val="005B47D0"/>
    <w:rsid w:val="005C42DB"/>
    <w:rsid w:val="005E0320"/>
    <w:rsid w:val="0062664B"/>
    <w:rsid w:val="00636303"/>
    <w:rsid w:val="006720BA"/>
    <w:rsid w:val="006A20C3"/>
    <w:rsid w:val="006A7F72"/>
    <w:rsid w:val="006C56D1"/>
    <w:rsid w:val="006C740F"/>
    <w:rsid w:val="007145B6"/>
    <w:rsid w:val="00764CA9"/>
    <w:rsid w:val="00783D4A"/>
    <w:rsid w:val="00786BB5"/>
    <w:rsid w:val="007D2AD6"/>
    <w:rsid w:val="00800EE4"/>
    <w:rsid w:val="008C65E8"/>
    <w:rsid w:val="008D0F90"/>
    <w:rsid w:val="008E1C0A"/>
    <w:rsid w:val="00966C63"/>
    <w:rsid w:val="00997B14"/>
    <w:rsid w:val="009A6D55"/>
    <w:rsid w:val="009E2579"/>
    <w:rsid w:val="00A14A6D"/>
    <w:rsid w:val="00B02023"/>
    <w:rsid w:val="00B17B93"/>
    <w:rsid w:val="00B569CA"/>
    <w:rsid w:val="00B77EBF"/>
    <w:rsid w:val="00B84300"/>
    <w:rsid w:val="00BB54C5"/>
    <w:rsid w:val="00BB6EA9"/>
    <w:rsid w:val="00BC3051"/>
    <w:rsid w:val="00C1609A"/>
    <w:rsid w:val="00C93AA7"/>
    <w:rsid w:val="00CB1F00"/>
    <w:rsid w:val="00CE2E53"/>
    <w:rsid w:val="00D106A3"/>
    <w:rsid w:val="00D35AB1"/>
    <w:rsid w:val="00DA5E9E"/>
    <w:rsid w:val="00DC4024"/>
    <w:rsid w:val="00DE2457"/>
    <w:rsid w:val="00E90524"/>
    <w:rsid w:val="00EB2FBD"/>
    <w:rsid w:val="00EC56D9"/>
    <w:rsid w:val="00EF38F8"/>
    <w:rsid w:val="00FB5482"/>
    <w:rsid w:val="00FF20C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E2419F8"/>
  <w15:chartTrackingRefBased/>
  <w15:docId w15:val="{19FC50C4-4C44-4F29-A3A5-98E6CBE71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7EBF"/>
  </w:style>
  <w:style w:type="paragraph" w:styleId="Heading1">
    <w:name w:val="heading 1"/>
    <w:basedOn w:val="Normal"/>
    <w:next w:val="Normal"/>
    <w:link w:val="Heading1Char"/>
    <w:uiPriority w:val="99"/>
    <w:qFormat/>
    <w:rsid w:val="005E0320"/>
    <w:pPr>
      <w:keepNext/>
      <w:jc w:val="center"/>
      <w:outlineLvl w:val="0"/>
    </w:pPr>
    <w:rPr>
      <w:rFonts w:eastAsiaTheme="majorEastAsia" w:cstheme="majorBidi"/>
      <w:b/>
      <w:bCs/>
      <w:szCs w:val="28"/>
    </w:rPr>
  </w:style>
  <w:style w:type="paragraph" w:styleId="Heading2">
    <w:name w:val="heading 2"/>
    <w:basedOn w:val="Normal"/>
    <w:next w:val="Normal"/>
    <w:link w:val="Heading2Char"/>
    <w:uiPriority w:val="99"/>
    <w:unhideWhenUsed/>
    <w:qFormat/>
    <w:rsid w:val="005E0320"/>
    <w:pPr>
      <w:keepNext/>
      <w:jc w:val="center"/>
      <w:outlineLvl w:val="1"/>
    </w:pPr>
    <w:rPr>
      <w:rFonts w:eastAsiaTheme="majorEastAsia" w:cstheme="majorBidi"/>
      <w:b/>
      <w:bCs/>
      <w:szCs w:val="26"/>
      <w:u w:val="single"/>
    </w:rPr>
  </w:style>
  <w:style w:type="paragraph" w:styleId="Heading3">
    <w:name w:val="heading 3"/>
    <w:basedOn w:val="Normal"/>
    <w:next w:val="Normal"/>
    <w:link w:val="Heading3Char"/>
    <w:uiPriority w:val="99"/>
    <w:semiHidden/>
    <w:unhideWhenUsed/>
    <w:qFormat/>
    <w:rsid w:val="005E0320"/>
    <w:pPr>
      <w:keepNext/>
      <w:outlineLvl w:val="2"/>
    </w:pPr>
    <w:rPr>
      <w:rFonts w:eastAsiaTheme="majorEastAsia" w:cstheme="majorBidi"/>
      <w:b/>
      <w:bCs/>
    </w:rPr>
  </w:style>
  <w:style w:type="paragraph" w:styleId="Heading4">
    <w:name w:val="heading 4"/>
    <w:basedOn w:val="Normal"/>
    <w:next w:val="Normal"/>
    <w:link w:val="Heading4Char"/>
    <w:uiPriority w:val="99"/>
    <w:semiHidden/>
    <w:unhideWhenUsed/>
    <w:qFormat/>
    <w:rsid w:val="005E0320"/>
    <w:pPr>
      <w:keepNext/>
      <w:outlineLvl w:val="3"/>
    </w:pPr>
    <w:rPr>
      <w:rFonts w:eastAsiaTheme="majorEastAsia" w:cstheme="majorBidi"/>
      <w:bCs/>
      <w:iCs/>
    </w:rPr>
  </w:style>
  <w:style w:type="paragraph" w:styleId="Heading5">
    <w:name w:val="heading 5"/>
    <w:basedOn w:val="Normal"/>
    <w:next w:val="Normal"/>
    <w:link w:val="Heading5Char"/>
    <w:uiPriority w:val="99"/>
    <w:semiHidden/>
    <w:unhideWhenUsed/>
    <w:qFormat/>
    <w:rsid w:val="005E0320"/>
    <w:pPr>
      <w:keepNext/>
      <w:ind w:left="720"/>
      <w:outlineLvl w:val="4"/>
    </w:pPr>
    <w:rPr>
      <w:rFonts w:eastAsiaTheme="majorEastAsia" w:cstheme="majorBidi"/>
    </w:rPr>
  </w:style>
  <w:style w:type="paragraph" w:styleId="Heading6">
    <w:name w:val="heading 6"/>
    <w:basedOn w:val="Normal"/>
    <w:next w:val="Normal"/>
    <w:link w:val="Heading6Char"/>
    <w:uiPriority w:val="99"/>
    <w:semiHidden/>
    <w:unhideWhenUsed/>
    <w:qFormat/>
    <w:rsid w:val="005E0320"/>
    <w:pPr>
      <w:keepNext/>
      <w:ind w:left="720"/>
      <w:outlineLvl w:val="5"/>
    </w:pPr>
    <w:rPr>
      <w:rFonts w:eastAsiaTheme="majorEastAsia" w:cstheme="majorBidi"/>
      <w:iCs/>
      <w:u w:val="single"/>
    </w:rPr>
  </w:style>
  <w:style w:type="paragraph" w:styleId="Heading7">
    <w:name w:val="heading 7"/>
    <w:basedOn w:val="Normal"/>
    <w:next w:val="Normal"/>
    <w:link w:val="Heading7Char"/>
    <w:uiPriority w:val="99"/>
    <w:semiHidden/>
    <w:unhideWhenUsed/>
    <w:qFormat/>
    <w:rsid w:val="005E0320"/>
    <w:pPr>
      <w:keepNext/>
      <w:jc w:val="center"/>
      <w:outlineLvl w:val="6"/>
    </w:pPr>
    <w:rPr>
      <w:rFonts w:eastAsiaTheme="majorEastAsia" w:cstheme="majorBidi"/>
      <w:b/>
      <w:iCs/>
    </w:rPr>
  </w:style>
  <w:style w:type="paragraph" w:styleId="Heading8">
    <w:name w:val="heading 8"/>
    <w:basedOn w:val="Normal"/>
    <w:next w:val="Normal"/>
    <w:link w:val="Heading8Char"/>
    <w:uiPriority w:val="99"/>
    <w:semiHidden/>
    <w:unhideWhenUsed/>
    <w:qFormat/>
    <w:rsid w:val="005E0320"/>
    <w:pPr>
      <w:keepNext/>
      <w:outlineLvl w:val="7"/>
    </w:pPr>
    <w:rPr>
      <w:rFonts w:eastAsiaTheme="majorEastAsia" w:cstheme="majorBidi"/>
      <w:b/>
      <w:szCs w:val="20"/>
    </w:rPr>
  </w:style>
  <w:style w:type="paragraph" w:styleId="Heading9">
    <w:name w:val="heading 9"/>
    <w:basedOn w:val="Normal"/>
    <w:next w:val="Normal"/>
    <w:link w:val="Heading9Char"/>
    <w:uiPriority w:val="99"/>
    <w:semiHidden/>
    <w:unhideWhenUsed/>
    <w:qFormat/>
    <w:rsid w:val="005E0320"/>
    <w:pPr>
      <w:keepNext/>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semiHidden/>
    <w:unhideWhenUsed/>
    <w:rsid w:val="00D35AB1"/>
    <w:pPr>
      <w:ind w:left="1440" w:right="720"/>
    </w:pPr>
    <w:rPr>
      <w:rFonts w:eastAsiaTheme="minorEastAsia"/>
      <w:iCs/>
    </w:rPr>
  </w:style>
  <w:style w:type="paragraph" w:styleId="BodyText">
    <w:name w:val="Body Text"/>
    <w:aliases w:val="Body"/>
    <w:basedOn w:val="Normal"/>
    <w:link w:val="BodyTextChar"/>
    <w:uiPriority w:val="99"/>
    <w:qFormat/>
    <w:rsid w:val="005E0320"/>
    <w:pPr>
      <w:ind w:firstLine="720"/>
    </w:pPr>
  </w:style>
  <w:style w:type="character" w:customStyle="1" w:styleId="BodyTextChar">
    <w:name w:val="Body Text Char"/>
    <w:aliases w:val="Body Char"/>
    <w:basedOn w:val="DefaultParagraphFont"/>
    <w:link w:val="BodyText"/>
    <w:uiPriority w:val="99"/>
    <w:rsid w:val="005E0320"/>
  </w:style>
  <w:style w:type="paragraph" w:styleId="BodyText2">
    <w:name w:val="Body Text 2"/>
    <w:aliases w:val="Body 2"/>
    <w:basedOn w:val="Normal"/>
    <w:link w:val="BodyText2Char"/>
    <w:uiPriority w:val="99"/>
    <w:rsid w:val="005529CE"/>
    <w:pPr>
      <w:spacing w:after="0" w:line="480" w:lineRule="auto"/>
      <w:ind w:firstLine="720"/>
    </w:pPr>
  </w:style>
  <w:style w:type="character" w:customStyle="1" w:styleId="BodyText2Char">
    <w:name w:val="Body Text 2 Char"/>
    <w:aliases w:val="Body 2 Char"/>
    <w:basedOn w:val="DefaultParagraphFont"/>
    <w:link w:val="BodyText2"/>
    <w:uiPriority w:val="99"/>
    <w:rsid w:val="005529CE"/>
  </w:style>
  <w:style w:type="paragraph" w:styleId="BodyText3">
    <w:name w:val="Body Text 3"/>
    <w:aliases w:val="Body 3"/>
    <w:basedOn w:val="Normal"/>
    <w:link w:val="BodyText3Char"/>
    <w:uiPriority w:val="99"/>
    <w:semiHidden/>
    <w:unhideWhenUsed/>
    <w:rsid w:val="005B47D0"/>
    <w:rPr>
      <w:szCs w:val="16"/>
    </w:rPr>
  </w:style>
  <w:style w:type="character" w:customStyle="1" w:styleId="BodyText3Char">
    <w:name w:val="Body Text 3 Char"/>
    <w:aliases w:val="Body 3 Char"/>
    <w:basedOn w:val="DefaultParagraphFont"/>
    <w:link w:val="BodyText3"/>
    <w:uiPriority w:val="99"/>
    <w:semiHidden/>
    <w:rsid w:val="005B47D0"/>
    <w:rPr>
      <w:szCs w:val="16"/>
    </w:rPr>
  </w:style>
  <w:style w:type="paragraph" w:styleId="BodyTextFirstIndent">
    <w:name w:val="Body Text First Indent"/>
    <w:aliases w:val="Body First Indent"/>
    <w:basedOn w:val="Normal"/>
    <w:link w:val="BodyTextFirstIndentChar"/>
    <w:uiPriority w:val="99"/>
    <w:qFormat/>
    <w:rsid w:val="005E0320"/>
    <w:pPr>
      <w:ind w:firstLine="1440"/>
    </w:pPr>
  </w:style>
  <w:style w:type="character" w:customStyle="1" w:styleId="BodyTextFirstIndentChar">
    <w:name w:val="Body Text First Indent Char"/>
    <w:aliases w:val="Body First Indent Char"/>
    <w:basedOn w:val="BodyTextChar"/>
    <w:link w:val="BodyTextFirstIndent"/>
    <w:uiPriority w:val="99"/>
    <w:rsid w:val="005E0320"/>
  </w:style>
  <w:style w:type="paragraph" w:styleId="BodyTextIndent">
    <w:name w:val="Body Text Indent"/>
    <w:aliases w:val="Body Indent"/>
    <w:basedOn w:val="Normal"/>
    <w:link w:val="BodyTextIndentChar"/>
    <w:uiPriority w:val="99"/>
    <w:qFormat/>
    <w:rsid w:val="005E0320"/>
    <w:pPr>
      <w:ind w:left="720"/>
    </w:pPr>
  </w:style>
  <w:style w:type="character" w:customStyle="1" w:styleId="BodyTextIndentChar">
    <w:name w:val="Body Text Indent Char"/>
    <w:aliases w:val="Body Indent Char"/>
    <w:basedOn w:val="DefaultParagraphFont"/>
    <w:link w:val="BodyTextIndent"/>
    <w:uiPriority w:val="99"/>
    <w:rsid w:val="005E0320"/>
  </w:style>
  <w:style w:type="paragraph" w:styleId="BodyTextFirstIndent2">
    <w:name w:val="Body Text First Indent 2"/>
    <w:aliases w:val="Body First Indent 2"/>
    <w:basedOn w:val="Normal"/>
    <w:link w:val="BodyTextFirstIndent2Char"/>
    <w:uiPriority w:val="99"/>
    <w:rsid w:val="00D35AB1"/>
    <w:pPr>
      <w:ind w:left="720" w:firstLine="1440"/>
    </w:pPr>
  </w:style>
  <w:style w:type="character" w:customStyle="1" w:styleId="BodyTextFirstIndent2Char">
    <w:name w:val="Body Text First Indent 2 Char"/>
    <w:aliases w:val="Body First Indent 2 Char"/>
    <w:basedOn w:val="BodyTextIndentChar"/>
    <w:link w:val="BodyTextFirstIndent2"/>
    <w:uiPriority w:val="99"/>
    <w:rsid w:val="00D35AB1"/>
  </w:style>
  <w:style w:type="paragraph" w:customStyle="1" w:styleId="BodyTextNoIndent">
    <w:name w:val="Body Text No Indent"/>
    <w:aliases w:val="Body No Indent"/>
    <w:basedOn w:val="Normal"/>
    <w:link w:val="BodyTextNoIndentChar"/>
    <w:uiPriority w:val="99"/>
    <w:qFormat/>
    <w:rsid w:val="005E0320"/>
  </w:style>
  <w:style w:type="character" w:customStyle="1" w:styleId="BodyTextNoIndentChar">
    <w:name w:val="Body Text No Indent Char"/>
    <w:aliases w:val="Body No Indent Char"/>
    <w:basedOn w:val="DefaultParagraphFont"/>
    <w:link w:val="BodyTextNoIndent"/>
    <w:uiPriority w:val="99"/>
    <w:rsid w:val="005E0320"/>
  </w:style>
  <w:style w:type="paragraph" w:customStyle="1" w:styleId="BodyTextFirstIndent3">
    <w:name w:val="Body Text First Indent 3"/>
    <w:aliases w:val="Body First Indent 3"/>
    <w:basedOn w:val="Normal"/>
    <w:link w:val="BodyTextFirstIndent3Char"/>
    <w:uiPriority w:val="99"/>
    <w:rsid w:val="00D35AB1"/>
    <w:pPr>
      <w:ind w:left="1440" w:firstLine="1440"/>
    </w:pPr>
  </w:style>
  <w:style w:type="character" w:customStyle="1" w:styleId="BodyTextFirstIndent3Char">
    <w:name w:val="Body Text First Indent 3 Char"/>
    <w:aliases w:val="Body First Indent 3 Char"/>
    <w:basedOn w:val="DefaultParagraphFont"/>
    <w:link w:val="BodyTextFirstIndent3"/>
    <w:uiPriority w:val="99"/>
    <w:rsid w:val="00D35AB1"/>
  </w:style>
  <w:style w:type="paragraph" w:styleId="BodyTextIndent2">
    <w:name w:val="Body Text Indent 2"/>
    <w:aliases w:val="Body Indent 2"/>
    <w:basedOn w:val="Normal"/>
    <w:link w:val="BodyTextIndent2Char"/>
    <w:uiPriority w:val="99"/>
    <w:rsid w:val="00FF20CE"/>
    <w:pPr>
      <w:ind w:left="1440"/>
    </w:pPr>
  </w:style>
  <w:style w:type="character" w:customStyle="1" w:styleId="BodyTextIndent2Char">
    <w:name w:val="Body Text Indent 2 Char"/>
    <w:aliases w:val="Body Indent 2 Char"/>
    <w:basedOn w:val="DefaultParagraphFont"/>
    <w:link w:val="BodyTextIndent2"/>
    <w:uiPriority w:val="99"/>
    <w:rsid w:val="00FF20CE"/>
  </w:style>
  <w:style w:type="paragraph" w:styleId="BodyTextIndent3">
    <w:name w:val="Body Text Indent 3"/>
    <w:aliases w:val="Body Indent 3"/>
    <w:basedOn w:val="Normal"/>
    <w:link w:val="BodyTextIndent3Char"/>
    <w:uiPriority w:val="99"/>
    <w:rsid w:val="00FF20CE"/>
    <w:pPr>
      <w:ind w:left="2160"/>
    </w:pPr>
    <w:rPr>
      <w:szCs w:val="16"/>
    </w:rPr>
  </w:style>
  <w:style w:type="character" w:customStyle="1" w:styleId="BodyTextIndent3Char">
    <w:name w:val="Body Text Indent 3 Char"/>
    <w:aliases w:val="Body Indent 3 Char"/>
    <w:basedOn w:val="DefaultParagraphFont"/>
    <w:link w:val="BodyTextIndent3"/>
    <w:uiPriority w:val="99"/>
    <w:rsid w:val="00FF20CE"/>
    <w:rPr>
      <w:szCs w:val="16"/>
    </w:rPr>
  </w:style>
  <w:style w:type="paragraph" w:customStyle="1" w:styleId="BTHangIndent">
    <w:name w:val="BT Hang Indent"/>
    <w:aliases w:val="Body Hang"/>
    <w:basedOn w:val="Normal"/>
    <w:link w:val="BTHangIndentChar"/>
    <w:uiPriority w:val="99"/>
    <w:rsid w:val="00FF20CE"/>
    <w:pPr>
      <w:ind w:left="1440" w:hanging="1440"/>
    </w:pPr>
  </w:style>
  <w:style w:type="character" w:customStyle="1" w:styleId="BTHangIndentChar">
    <w:name w:val="BT Hang Indent Char"/>
    <w:aliases w:val="Body Hang Char"/>
    <w:basedOn w:val="DefaultParagraphFont"/>
    <w:link w:val="BTHangIndent"/>
    <w:uiPriority w:val="99"/>
    <w:rsid w:val="00FF20CE"/>
  </w:style>
  <w:style w:type="paragraph" w:customStyle="1" w:styleId="BTHangIndent2">
    <w:name w:val="BT Hang Indent 2"/>
    <w:aliases w:val="Body Hang 2"/>
    <w:basedOn w:val="Normal"/>
    <w:link w:val="BTHangIndent2Char"/>
    <w:uiPriority w:val="99"/>
    <w:rsid w:val="00FF20CE"/>
    <w:pPr>
      <w:ind w:left="2160" w:hanging="1440"/>
    </w:pPr>
  </w:style>
  <w:style w:type="character" w:customStyle="1" w:styleId="BTHangIndent2Char">
    <w:name w:val="BT Hang Indent 2 Char"/>
    <w:aliases w:val="Body Hang 2 Char"/>
    <w:basedOn w:val="DefaultParagraphFont"/>
    <w:link w:val="BTHangIndent2"/>
    <w:uiPriority w:val="99"/>
    <w:rsid w:val="00FF20CE"/>
  </w:style>
  <w:style w:type="table" w:styleId="TableGrid">
    <w:name w:val="Table Grid"/>
    <w:basedOn w:val="TableNormal"/>
    <w:uiPriority w:val="59"/>
    <w:rsid w:val="005E032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semiHidden/>
    <w:unhideWhenUsed/>
    <w:rsid w:val="00DC4024"/>
    <w:pPr>
      <w:spacing w:after="200"/>
    </w:pPr>
    <w:rPr>
      <w:b/>
      <w:bCs/>
      <w:sz w:val="18"/>
      <w:szCs w:val="18"/>
    </w:rPr>
  </w:style>
  <w:style w:type="paragraph" w:styleId="Closing">
    <w:name w:val="Closing"/>
    <w:basedOn w:val="Normal"/>
    <w:link w:val="ClosingChar"/>
    <w:uiPriority w:val="99"/>
    <w:semiHidden/>
    <w:unhideWhenUsed/>
    <w:rsid w:val="005529CE"/>
    <w:pPr>
      <w:spacing w:after="0"/>
      <w:ind w:left="4680"/>
    </w:pPr>
  </w:style>
  <w:style w:type="character" w:customStyle="1" w:styleId="ClosingChar">
    <w:name w:val="Closing Char"/>
    <w:basedOn w:val="DefaultParagraphFont"/>
    <w:link w:val="Closing"/>
    <w:uiPriority w:val="99"/>
    <w:semiHidden/>
    <w:rsid w:val="005529CE"/>
  </w:style>
  <w:style w:type="paragraph" w:styleId="CommentText">
    <w:name w:val="annotation text"/>
    <w:basedOn w:val="Normal"/>
    <w:link w:val="CommentTextChar"/>
    <w:uiPriority w:val="99"/>
    <w:semiHidden/>
    <w:unhideWhenUsed/>
    <w:rsid w:val="00DC4024"/>
    <w:rPr>
      <w:sz w:val="20"/>
      <w:szCs w:val="20"/>
    </w:rPr>
  </w:style>
  <w:style w:type="character" w:customStyle="1" w:styleId="CommentTextChar">
    <w:name w:val="Comment Text Char"/>
    <w:basedOn w:val="DefaultParagraphFont"/>
    <w:link w:val="CommentText"/>
    <w:uiPriority w:val="99"/>
    <w:semiHidden/>
    <w:rsid w:val="00DC4024"/>
    <w:rPr>
      <w:sz w:val="20"/>
      <w:szCs w:val="20"/>
    </w:rPr>
  </w:style>
  <w:style w:type="paragraph" w:styleId="CommentSubject">
    <w:name w:val="annotation subject"/>
    <w:basedOn w:val="Normal"/>
    <w:next w:val="CommentText"/>
    <w:link w:val="CommentSubjectChar"/>
    <w:uiPriority w:val="99"/>
    <w:semiHidden/>
    <w:unhideWhenUsed/>
    <w:rsid w:val="00DC4024"/>
    <w:rPr>
      <w:b/>
      <w:bCs/>
      <w:sz w:val="20"/>
    </w:rPr>
  </w:style>
  <w:style w:type="character" w:customStyle="1" w:styleId="CommentSubjectChar">
    <w:name w:val="Comment Subject Char"/>
    <w:basedOn w:val="CommentTextChar"/>
    <w:link w:val="CommentSubject"/>
    <w:uiPriority w:val="99"/>
    <w:semiHidden/>
    <w:rsid w:val="00DC4024"/>
    <w:rPr>
      <w:b/>
      <w:bCs/>
      <w:sz w:val="20"/>
      <w:szCs w:val="20"/>
    </w:rPr>
  </w:style>
  <w:style w:type="paragraph" w:styleId="EnvelopeAddress">
    <w:name w:val="envelope address"/>
    <w:basedOn w:val="Normal"/>
    <w:uiPriority w:val="99"/>
    <w:semiHidden/>
    <w:unhideWhenUsed/>
    <w:rsid w:val="00D106A3"/>
    <w:pPr>
      <w:framePr w:w="7920" w:h="1980" w:hRule="exact" w:hSpace="180" w:wrap="auto" w:hAnchor="page" w:xAlign="center" w:yAlign="bottom"/>
      <w:spacing w:after="0"/>
      <w:ind w:left="2880"/>
    </w:pPr>
    <w:rPr>
      <w:rFonts w:ascii="Arial" w:hAnsi="Arial" w:eastAsiaTheme="majorEastAsia" w:cstheme="majorBidi"/>
    </w:rPr>
  </w:style>
  <w:style w:type="paragraph" w:styleId="EnvelopeReturn">
    <w:name w:val="envelope return"/>
    <w:basedOn w:val="Normal"/>
    <w:uiPriority w:val="99"/>
    <w:semiHidden/>
    <w:unhideWhenUsed/>
    <w:rsid w:val="00D106A3"/>
    <w:pPr>
      <w:spacing w:after="0"/>
    </w:pPr>
    <w:rPr>
      <w:rFonts w:ascii="Arial" w:hAnsi="Arial" w:eastAsiaTheme="majorEastAsia" w:cstheme="majorBidi"/>
      <w:sz w:val="20"/>
      <w:szCs w:val="20"/>
    </w:rPr>
  </w:style>
  <w:style w:type="character" w:styleId="FollowedHyperlink">
    <w:name w:val="FollowedHyperlink"/>
    <w:basedOn w:val="DefaultParagraphFont"/>
    <w:uiPriority w:val="99"/>
    <w:semiHidden/>
    <w:unhideWhenUsed/>
    <w:rsid w:val="006C56D1"/>
    <w:rPr>
      <w:color w:val="7030A0"/>
      <w:u w:val="single"/>
    </w:rPr>
  </w:style>
  <w:style w:type="paragraph" w:styleId="Header">
    <w:name w:val="header"/>
    <w:basedOn w:val="Normal"/>
    <w:link w:val="HeaderChar"/>
    <w:uiPriority w:val="99"/>
    <w:rsid w:val="005529CE"/>
    <w:pPr>
      <w:tabs>
        <w:tab w:val="center" w:pos="4680"/>
        <w:tab w:val="right" w:pos="9360"/>
      </w:tabs>
      <w:spacing w:after="0"/>
    </w:pPr>
  </w:style>
  <w:style w:type="character" w:customStyle="1" w:styleId="HeaderChar">
    <w:name w:val="Header Char"/>
    <w:basedOn w:val="DefaultParagraphFont"/>
    <w:link w:val="Header"/>
    <w:uiPriority w:val="99"/>
    <w:rsid w:val="005529CE"/>
  </w:style>
  <w:style w:type="character" w:customStyle="1" w:styleId="Heading1Char">
    <w:name w:val="Heading 1 Char"/>
    <w:basedOn w:val="DefaultParagraphFont"/>
    <w:link w:val="Heading1"/>
    <w:uiPriority w:val="99"/>
    <w:rsid w:val="005E0320"/>
    <w:rPr>
      <w:rFonts w:eastAsiaTheme="majorEastAsia" w:cstheme="majorBidi"/>
      <w:b/>
      <w:bCs/>
      <w:szCs w:val="28"/>
    </w:rPr>
  </w:style>
  <w:style w:type="character" w:customStyle="1" w:styleId="Heading2Char">
    <w:name w:val="Heading 2 Char"/>
    <w:basedOn w:val="DefaultParagraphFont"/>
    <w:link w:val="Heading2"/>
    <w:uiPriority w:val="99"/>
    <w:rsid w:val="005E0320"/>
    <w:rPr>
      <w:rFonts w:eastAsiaTheme="majorEastAsia" w:cstheme="majorBidi"/>
      <w:b/>
      <w:bCs/>
      <w:szCs w:val="26"/>
      <w:u w:val="single"/>
    </w:rPr>
  </w:style>
  <w:style w:type="character" w:customStyle="1" w:styleId="Heading3Char">
    <w:name w:val="Heading 3 Char"/>
    <w:basedOn w:val="DefaultParagraphFont"/>
    <w:link w:val="Heading3"/>
    <w:uiPriority w:val="99"/>
    <w:semiHidden/>
    <w:rsid w:val="005E0320"/>
    <w:rPr>
      <w:rFonts w:eastAsiaTheme="majorEastAsia" w:cstheme="majorBidi"/>
      <w:b/>
      <w:bCs/>
    </w:rPr>
  </w:style>
  <w:style w:type="character" w:customStyle="1" w:styleId="Heading4Char">
    <w:name w:val="Heading 4 Char"/>
    <w:basedOn w:val="DefaultParagraphFont"/>
    <w:link w:val="Heading4"/>
    <w:uiPriority w:val="99"/>
    <w:semiHidden/>
    <w:rsid w:val="005E0320"/>
    <w:rPr>
      <w:rFonts w:eastAsiaTheme="majorEastAsia" w:cstheme="majorBidi"/>
      <w:bCs/>
      <w:iCs/>
    </w:rPr>
  </w:style>
  <w:style w:type="character" w:customStyle="1" w:styleId="Heading5Char">
    <w:name w:val="Heading 5 Char"/>
    <w:basedOn w:val="DefaultParagraphFont"/>
    <w:link w:val="Heading5"/>
    <w:uiPriority w:val="99"/>
    <w:semiHidden/>
    <w:rsid w:val="005E0320"/>
    <w:rPr>
      <w:rFonts w:eastAsiaTheme="majorEastAsia" w:cstheme="majorBidi"/>
    </w:rPr>
  </w:style>
  <w:style w:type="character" w:customStyle="1" w:styleId="Heading6Char">
    <w:name w:val="Heading 6 Char"/>
    <w:basedOn w:val="DefaultParagraphFont"/>
    <w:link w:val="Heading6"/>
    <w:uiPriority w:val="99"/>
    <w:semiHidden/>
    <w:rsid w:val="005E0320"/>
    <w:rPr>
      <w:rFonts w:eastAsiaTheme="majorEastAsia" w:cstheme="majorBidi"/>
      <w:iCs/>
      <w:u w:val="single"/>
    </w:rPr>
  </w:style>
  <w:style w:type="character" w:customStyle="1" w:styleId="Heading7Char">
    <w:name w:val="Heading 7 Char"/>
    <w:basedOn w:val="DefaultParagraphFont"/>
    <w:link w:val="Heading7"/>
    <w:uiPriority w:val="99"/>
    <w:semiHidden/>
    <w:rsid w:val="005E0320"/>
    <w:rPr>
      <w:rFonts w:eastAsiaTheme="majorEastAsia" w:cstheme="majorBidi"/>
      <w:b/>
      <w:iCs/>
    </w:rPr>
  </w:style>
  <w:style w:type="character" w:customStyle="1" w:styleId="Heading8Char">
    <w:name w:val="Heading 8 Char"/>
    <w:basedOn w:val="DefaultParagraphFont"/>
    <w:link w:val="Heading8"/>
    <w:uiPriority w:val="99"/>
    <w:semiHidden/>
    <w:rsid w:val="005E0320"/>
    <w:rPr>
      <w:rFonts w:eastAsiaTheme="majorEastAsia" w:cstheme="majorBidi"/>
      <w:b/>
      <w:szCs w:val="20"/>
    </w:rPr>
  </w:style>
  <w:style w:type="character" w:customStyle="1" w:styleId="Heading9Char">
    <w:name w:val="Heading 9 Char"/>
    <w:basedOn w:val="DefaultParagraphFont"/>
    <w:link w:val="Heading9"/>
    <w:uiPriority w:val="99"/>
    <w:semiHidden/>
    <w:rsid w:val="005E0320"/>
    <w:rPr>
      <w:rFonts w:eastAsiaTheme="majorEastAsia" w:cstheme="majorBidi"/>
      <w:iCs/>
      <w:szCs w:val="20"/>
    </w:rPr>
  </w:style>
  <w:style w:type="character" w:styleId="Hyperlink">
    <w:name w:val="Hyperlink"/>
    <w:basedOn w:val="DefaultParagraphFont"/>
    <w:uiPriority w:val="99"/>
    <w:unhideWhenUsed/>
    <w:rsid w:val="008C65E8"/>
    <w:rPr>
      <w:color w:val="3C18C2"/>
      <w:u w:val="single"/>
    </w:rPr>
  </w:style>
  <w:style w:type="paragraph" w:styleId="Index1">
    <w:name w:val="index 1"/>
    <w:basedOn w:val="Normal"/>
    <w:next w:val="Normal"/>
    <w:autoRedefine/>
    <w:uiPriority w:val="99"/>
    <w:semiHidden/>
    <w:unhideWhenUsed/>
    <w:rsid w:val="005529CE"/>
    <w:pPr>
      <w:spacing w:after="0"/>
      <w:ind w:left="245" w:hanging="245"/>
    </w:pPr>
  </w:style>
  <w:style w:type="paragraph" w:styleId="IndexHeading">
    <w:name w:val="index heading"/>
    <w:basedOn w:val="Normal"/>
    <w:next w:val="Normal"/>
    <w:uiPriority w:val="99"/>
    <w:semiHidden/>
    <w:unhideWhenUsed/>
    <w:rsid w:val="008C65E8"/>
    <w:rPr>
      <w:rFonts w:eastAsiaTheme="majorEastAsia" w:cstheme="majorBidi"/>
      <w:b/>
      <w:bCs/>
    </w:rPr>
  </w:style>
  <w:style w:type="character" w:styleId="IntenseEmphasis">
    <w:name w:val="Intense Emphasis"/>
    <w:basedOn w:val="DefaultParagraphFont"/>
    <w:uiPriority w:val="99"/>
    <w:semiHidden/>
    <w:unhideWhenUsed/>
    <w:rsid w:val="008C65E8"/>
    <w:rPr>
      <w:b/>
      <w:bCs/>
      <w:i/>
      <w:iCs/>
      <w:color w:val="auto"/>
    </w:rPr>
  </w:style>
  <w:style w:type="paragraph" w:styleId="IntenseQuote">
    <w:name w:val="Intense Quote"/>
    <w:basedOn w:val="Normal"/>
    <w:next w:val="Normal"/>
    <w:link w:val="IntenseQuoteChar"/>
    <w:uiPriority w:val="99"/>
    <w:semiHidden/>
    <w:unhideWhenUsed/>
    <w:rsid w:val="005529CE"/>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99"/>
    <w:semiHidden/>
    <w:rsid w:val="005529CE"/>
    <w:rPr>
      <w:b/>
      <w:bCs/>
      <w:i/>
      <w:iCs/>
    </w:rPr>
  </w:style>
  <w:style w:type="character" w:styleId="IntenseReference">
    <w:name w:val="Intense Reference"/>
    <w:basedOn w:val="DefaultParagraphFont"/>
    <w:uiPriority w:val="99"/>
    <w:semiHidden/>
    <w:unhideWhenUsed/>
    <w:rsid w:val="008C65E8"/>
    <w:rPr>
      <w:b/>
      <w:bCs/>
      <w:smallCaps/>
      <w:color w:val="auto"/>
      <w:spacing w:val="5"/>
      <w:u w:val="single"/>
    </w:rPr>
  </w:style>
  <w:style w:type="paragraph" w:styleId="MessageHeader">
    <w:name w:val="Message Header"/>
    <w:basedOn w:val="Normal"/>
    <w:link w:val="MessageHeaderChar"/>
    <w:uiPriority w:val="99"/>
    <w:semiHidden/>
    <w:unhideWhenUsed/>
    <w:rsid w:val="008C65E8"/>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MessageHeaderChar">
    <w:name w:val="Message Header Char"/>
    <w:basedOn w:val="DefaultParagraphFont"/>
    <w:link w:val="MessageHeader"/>
    <w:uiPriority w:val="99"/>
    <w:semiHidden/>
    <w:rsid w:val="008C65E8"/>
    <w:rPr>
      <w:rFonts w:eastAsiaTheme="majorEastAsia" w:cstheme="majorBidi"/>
      <w:shd w:val="pct20" w:color="auto" w:fill="auto"/>
    </w:rPr>
  </w:style>
  <w:style w:type="paragraph" w:styleId="NoSpacing">
    <w:name w:val="No Spacing"/>
    <w:qFormat/>
    <w:rsid w:val="005E0320"/>
    <w:pPr>
      <w:spacing w:after="0"/>
    </w:pPr>
  </w:style>
  <w:style w:type="paragraph" w:styleId="Quote">
    <w:name w:val="Quote"/>
    <w:basedOn w:val="Normal"/>
    <w:link w:val="QuoteChar"/>
    <w:uiPriority w:val="99"/>
    <w:qFormat/>
    <w:rsid w:val="005E0320"/>
    <w:pPr>
      <w:ind w:left="720" w:right="720"/>
    </w:pPr>
    <w:rPr>
      <w:iCs/>
    </w:rPr>
  </w:style>
  <w:style w:type="character" w:customStyle="1" w:styleId="QuoteChar">
    <w:name w:val="Quote Char"/>
    <w:basedOn w:val="DefaultParagraphFont"/>
    <w:link w:val="Quote"/>
    <w:uiPriority w:val="99"/>
    <w:rsid w:val="005E0320"/>
    <w:rPr>
      <w:iCs/>
    </w:rPr>
  </w:style>
  <w:style w:type="paragraph" w:styleId="Salutation">
    <w:name w:val="Salutation"/>
    <w:basedOn w:val="Normal"/>
    <w:next w:val="Normal"/>
    <w:link w:val="SalutationChar"/>
    <w:uiPriority w:val="99"/>
    <w:semiHidden/>
    <w:unhideWhenUsed/>
    <w:rsid w:val="00FF20CE"/>
  </w:style>
  <w:style w:type="character" w:customStyle="1" w:styleId="SalutationChar">
    <w:name w:val="Salutation Char"/>
    <w:basedOn w:val="DefaultParagraphFont"/>
    <w:link w:val="Salutation"/>
    <w:uiPriority w:val="99"/>
    <w:semiHidden/>
    <w:rsid w:val="00FF20CE"/>
  </w:style>
  <w:style w:type="paragraph" w:styleId="Signature">
    <w:name w:val="Signature"/>
    <w:basedOn w:val="Normal"/>
    <w:link w:val="SignatureChar"/>
    <w:uiPriority w:val="99"/>
    <w:semiHidden/>
    <w:unhideWhenUsed/>
    <w:rsid w:val="005529CE"/>
    <w:pPr>
      <w:spacing w:after="0"/>
      <w:ind w:left="4680"/>
    </w:pPr>
  </w:style>
  <w:style w:type="character" w:customStyle="1" w:styleId="SignatureChar">
    <w:name w:val="Signature Char"/>
    <w:basedOn w:val="DefaultParagraphFont"/>
    <w:link w:val="Signature"/>
    <w:uiPriority w:val="99"/>
    <w:semiHidden/>
    <w:rsid w:val="005529CE"/>
  </w:style>
  <w:style w:type="paragraph" w:styleId="Subtitle">
    <w:name w:val="Subtitle"/>
    <w:basedOn w:val="Normal"/>
    <w:next w:val="Normal"/>
    <w:link w:val="SubtitleChar"/>
    <w:uiPriority w:val="99"/>
    <w:qFormat/>
    <w:rsid w:val="005E0320"/>
    <w:pPr>
      <w:keepNext/>
      <w:numPr>
        <w:ilvl w:val="1"/>
      </w:numPr>
      <w:spacing w:after="480"/>
      <w:jc w:val="center"/>
    </w:pPr>
    <w:rPr>
      <w:rFonts w:eastAsiaTheme="majorEastAsia" w:cstheme="majorBidi"/>
      <w:iCs/>
    </w:rPr>
  </w:style>
  <w:style w:type="character" w:customStyle="1" w:styleId="SubtitleChar">
    <w:name w:val="Subtitle Char"/>
    <w:basedOn w:val="DefaultParagraphFont"/>
    <w:link w:val="Subtitle"/>
    <w:uiPriority w:val="99"/>
    <w:rsid w:val="005E0320"/>
    <w:rPr>
      <w:rFonts w:eastAsiaTheme="majorEastAsia" w:cstheme="majorBidi"/>
      <w:iCs/>
    </w:rPr>
  </w:style>
  <w:style w:type="character" w:styleId="SubtleEmphasis">
    <w:name w:val="Subtle Emphasis"/>
    <w:basedOn w:val="DefaultParagraphFont"/>
    <w:uiPriority w:val="99"/>
    <w:semiHidden/>
    <w:unhideWhenUsed/>
    <w:rsid w:val="008C65E8"/>
    <w:rPr>
      <w:i/>
      <w:iCs/>
      <w:color w:val="auto"/>
    </w:rPr>
  </w:style>
  <w:style w:type="character" w:styleId="SubtleReference">
    <w:name w:val="Subtle Reference"/>
    <w:basedOn w:val="DefaultParagraphFont"/>
    <w:uiPriority w:val="99"/>
    <w:semiHidden/>
    <w:unhideWhenUsed/>
    <w:rsid w:val="008C65E8"/>
    <w:rPr>
      <w:smallCaps/>
      <w:color w:val="auto"/>
      <w:u w:val="single"/>
    </w:rPr>
  </w:style>
  <w:style w:type="paragraph" w:styleId="Title">
    <w:name w:val="Title"/>
    <w:basedOn w:val="Normal"/>
    <w:next w:val="Normal"/>
    <w:link w:val="TitleChar"/>
    <w:uiPriority w:val="99"/>
    <w:qFormat/>
    <w:rsid w:val="005E0320"/>
    <w:pPr>
      <w:keepNext/>
      <w:jc w:val="center"/>
    </w:pPr>
    <w:rPr>
      <w:rFonts w:eastAsiaTheme="majorEastAsia" w:cstheme="majorBidi"/>
      <w:b/>
      <w:szCs w:val="52"/>
    </w:rPr>
  </w:style>
  <w:style w:type="character" w:customStyle="1" w:styleId="TitleChar">
    <w:name w:val="Title Char"/>
    <w:basedOn w:val="DefaultParagraphFont"/>
    <w:link w:val="Title"/>
    <w:uiPriority w:val="99"/>
    <w:rsid w:val="005E0320"/>
    <w:rPr>
      <w:rFonts w:eastAsiaTheme="majorEastAsia" w:cstheme="majorBidi"/>
      <w:b/>
      <w:szCs w:val="52"/>
    </w:rPr>
  </w:style>
  <w:style w:type="paragraph" w:styleId="TOAHeading">
    <w:name w:val="toa heading"/>
    <w:basedOn w:val="Normal"/>
    <w:next w:val="Normal"/>
    <w:uiPriority w:val="99"/>
    <w:semiHidden/>
    <w:unhideWhenUsed/>
    <w:rsid w:val="008C65E8"/>
    <w:pPr>
      <w:keepNext/>
    </w:pPr>
    <w:rPr>
      <w:rFonts w:eastAsiaTheme="majorEastAsia" w:cstheme="majorBidi"/>
      <w:b/>
      <w:bCs/>
    </w:rPr>
  </w:style>
  <w:style w:type="paragraph" w:styleId="TOC1">
    <w:name w:val="toc 1"/>
    <w:basedOn w:val="Normal"/>
    <w:next w:val="Normal"/>
    <w:autoRedefine/>
    <w:uiPriority w:val="99"/>
    <w:semiHidden/>
    <w:unhideWhenUsed/>
    <w:rsid w:val="008C65E8"/>
  </w:style>
  <w:style w:type="paragraph" w:styleId="TOC2">
    <w:name w:val="toc 2"/>
    <w:basedOn w:val="Normal"/>
    <w:next w:val="Normal"/>
    <w:autoRedefine/>
    <w:uiPriority w:val="99"/>
    <w:semiHidden/>
    <w:unhideWhenUsed/>
    <w:rsid w:val="008C65E8"/>
    <w:pPr>
      <w:ind w:left="720" w:right="1440"/>
    </w:pPr>
  </w:style>
  <w:style w:type="paragraph" w:styleId="TOC3">
    <w:name w:val="toc 3"/>
    <w:basedOn w:val="Normal"/>
    <w:next w:val="Normal"/>
    <w:autoRedefine/>
    <w:uiPriority w:val="99"/>
    <w:semiHidden/>
    <w:unhideWhenUsed/>
    <w:rsid w:val="008C65E8"/>
    <w:pPr>
      <w:ind w:left="1440" w:right="1440"/>
    </w:pPr>
  </w:style>
  <w:style w:type="paragraph" w:styleId="TOC4">
    <w:name w:val="toc 4"/>
    <w:basedOn w:val="Normal"/>
    <w:next w:val="Normal"/>
    <w:autoRedefine/>
    <w:uiPriority w:val="99"/>
    <w:semiHidden/>
    <w:unhideWhenUsed/>
    <w:rsid w:val="008C65E8"/>
    <w:pPr>
      <w:ind w:left="2160" w:right="1440"/>
    </w:pPr>
  </w:style>
  <w:style w:type="paragraph" w:styleId="TOC5">
    <w:name w:val="toc 5"/>
    <w:basedOn w:val="Normal"/>
    <w:next w:val="Normal"/>
    <w:autoRedefine/>
    <w:uiPriority w:val="99"/>
    <w:semiHidden/>
    <w:unhideWhenUsed/>
    <w:rsid w:val="008C65E8"/>
    <w:pPr>
      <w:ind w:left="2880" w:right="1440"/>
    </w:pPr>
  </w:style>
  <w:style w:type="paragraph" w:styleId="TOC6">
    <w:name w:val="toc 6"/>
    <w:basedOn w:val="Normal"/>
    <w:next w:val="Normal"/>
    <w:autoRedefine/>
    <w:uiPriority w:val="99"/>
    <w:semiHidden/>
    <w:unhideWhenUsed/>
    <w:rsid w:val="008C65E8"/>
    <w:pPr>
      <w:ind w:left="3600" w:right="1440"/>
    </w:pPr>
  </w:style>
  <w:style w:type="paragraph" w:styleId="TOC7">
    <w:name w:val="toc 7"/>
    <w:basedOn w:val="Normal"/>
    <w:next w:val="Normal"/>
    <w:autoRedefine/>
    <w:uiPriority w:val="99"/>
    <w:semiHidden/>
    <w:unhideWhenUsed/>
    <w:rsid w:val="008C65E8"/>
    <w:pPr>
      <w:ind w:left="4320" w:right="1440"/>
    </w:pPr>
  </w:style>
  <w:style w:type="paragraph" w:styleId="TOC8">
    <w:name w:val="toc 8"/>
    <w:basedOn w:val="Normal"/>
    <w:next w:val="Normal"/>
    <w:autoRedefine/>
    <w:uiPriority w:val="99"/>
    <w:semiHidden/>
    <w:unhideWhenUsed/>
    <w:rsid w:val="008C65E8"/>
    <w:pPr>
      <w:ind w:left="4320" w:right="1440"/>
    </w:pPr>
  </w:style>
  <w:style w:type="paragraph" w:styleId="TOC9">
    <w:name w:val="toc 9"/>
    <w:basedOn w:val="Normal"/>
    <w:next w:val="Normal"/>
    <w:autoRedefine/>
    <w:uiPriority w:val="99"/>
    <w:semiHidden/>
    <w:unhideWhenUsed/>
    <w:rsid w:val="008C65E8"/>
    <w:pPr>
      <w:ind w:left="4320" w:right="1440"/>
    </w:pPr>
  </w:style>
  <w:style w:type="paragraph" w:styleId="TOCHeading">
    <w:name w:val="TOC Heading"/>
    <w:basedOn w:val="Normal"/>
    <w:next w:val="Normal"/>
    <w:uiPriority w:val="99"/>
    <w:semiHidden/>
    <w:unhideWhenUsed/>
    <w:rsid w:val="005529CE"/>
    <w:pPr>
      <w:keepLines/>
    </w:pPr>
  </w:style>
  <w:style w:type="paragraph" w:styleId="Index2">
    <w:name w:val="index 2"/>
    <w:basedOn w:val="Normal"/>
    <w:next w:val="Normal"/>
    <w:autoRedefine/>
    <w:uiPriority w:val="99"/>
    <w:semiHidden/>
    <w:unhideWhenUsed/>
    <w:rsid w:val="005529CE"/>
    <w:pPr>
      <w:spacing w:after="0"/>
      <w:ind w:left="490" w:hanging="245"/>
    </w:pPr>
  </w:style>
  <w:style w:type="character" w:customStyle="1" w:styleId="cf01">
    <w:name w:val="cf01"/>
    <w:basedOn w:val="DefaultParagraphFont"/>
    <w:rsid w:val="00B77EBF"/>
    <w:rPr>
      <w:rFonts w:ascii="Segoe UI" w:hAnsi="Segoe UI" w:cs="Segoe UI" w:hint="default"/>
      <w:sz w:val="18"/>
      <w:szCs w:val="18"/>
    </w:rPr>
  </w:style>
  <w:style w:type="paragraph" w:styleId="Footer">
    <w:name w:val="footer"/>
    <w:basedOn w:val="Normal"/>
    <w:link w:val="FooterChar"/>
    <w:uiPriority w:val="99"/>
    <w:rsid w:val="00B77EBF"/>
    <w:pPr>
      <w:tabs>
        <w:tab w:val="center" w:pos="4680"/>
        <w:tab w:val="right" w:pos="9360"/>
      </w:tabs>
      <w:spacing w:after="0"/>
    </w:pPr>
  </w:style>
  <w:style w:type="character" w:customStyle="1" w:styleId="FooterChar">
    <w:name w:val="Footer Char"/>
    <w:basedOn w:val="DefaultParagraphFont"/>
    <w:link w:val="Footer"/>
    <w:uiPriority w:val="99"/>
    <w:rsid w:val="00B77EBF"/>
  </w:style>
  <w:style w:type="character" w:styleId="UnresolvedMention">
    <w:name w:val="Unresolved Mention"/>
    <w:basedOn w:val="DefaultParagraphFont"/>
    <w:uiPriority w:val="99"/>
    <w:semiHidden/>
    <w:unhideWhenUsed/>
    <w:rsid w:val="007145B6"/>
    <w:rPr>
      <w:color w:val="605E5C"/>
      <w:shd w:val="clear" w:color="auto" w:fill="E1DFDD"/>
    </w:rPr>
  </w:style>
  <w:style w:type="paragraph" w:styleId="NormalWeb">
    <w:name w:val="Normal (Web)"/>
    <w:basedOn w:val="Normal"/>
    <w:uiPriority w:val="99"/>
    <w:semiHidden/>
    <w:unhideWhenUsed/>
    <w:rsid w:val="00B02023"/>
    <w:pPr>
      <w:spacing w:before="100" w:beforeAutospacing="1" w:after="100" w:afterAutospacing="1"/>
    </w:pPr>
    <w:rPr>
      <w:rFonts w:eastAsia="Times New Roman" w:cs="Times New Roman"/>
    </w:rPr>
  </w:style>
  <w:style w:type="paragraph" w:styleId="ListParagraph">
    <w:name w:val="List Paragraph"/>
    <w:basedOn w:val="Normal"/>
    <w:uiPriority w:val="99"/>
    <w:rsid w:val="00BB6E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hyperlink" Target="mailto:abianchi@mwe.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539c611a-8032-457b-b371-a99182228eef}" enabled="0" method="" siteId="{539c611a-8032-457b-b371-a99182228eef}" removed="1"/>
</clbl:labelList>
</file>

<file path=docProps/app.xml><?xml version="1.0" encoding="utf-8"?>
<Properties xmlns="http://schemas.openxmlformats.org/officeDocument/2006/extended-properties" xmlns:vt="http://schemas.openxmlformats.org/officeDocument/2006/docPropsVTypes">
  <TotalTime>0</TotalTime>
  <Pages>3</Pages>
  <Words>623</Words>
  <Characters>3523</Characters>
  <Application>Microsoft Office Word</Application>
  <DocSecurity>0</DocSecurity>
  <Lines>149</Lines>
  <Paragraphs>26</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